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C1163" w14:textId="1C66B44F" w:rsidR="00AB490F" w:rsidRDefault="00AB490F" w:rsidP="00B32D68">
      <w:pPr>
        <w:pStyle w:val="NoSpacing"/>
      </w:pPr>
    </w:p>
    <w:p w14:paraId="2B200062" w14:textId="77777777" w:rsidR="00CE701B" w:rsidRDefault="00CE701B" w:rsidP="00CE701B">
      <w:pPr>
        <w:pStyle w:val="Heading1"/>
        <w:ind w:left="-142"/>
        <w:rPr>
          <w:rFonts w:cs="Arial"/>
          <w:bCs/>
          <w:sz w:val="36"/>
          <w:szCs w:val="36"/>
        </w:rPr>
      </w:pPr>
      <w:bookmarkStart w:id="0" w:name="_Hlk188260665"/>
      <w:r>
        <w:rPr>
          <w:rFonts w:cs="Arial"/>
          <w:bCs/>
          <w:noProof/>
          <w:sz w:val="36"/>
          <w:szCs w:val="36"/>
        </w:rPr>
        <w:drawing>
          <wp:inline distT="0" distB="0" distL="0" distR="0" wp14:anchorId="2C672BC1" wp14:editId="0D064B1B">
            <wp:extent cx="1335819" cy="1049413"/>
            <wp:effectExtent l="0" t="0" r="0" b="0"/>
            <wp:docPr id="1023561929" name="Picture 3" descr="A logo for a government agenc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561929" name="Picture 3" descr="A logo for a government agenc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020" cy="1077066"/>
                    </a:xfrm>
                    <a:prstGeom prst="rect">
                      <a:avLst/>
                    </a:prstGeom>
                  </pic:spPr>
                </pic:pic>
              </a:graphicData>
            </a:graphic>
          </wp:inline>
        </w:drawing>
      </w:r>
      <w:r>
        <w:rPr>
          <w:rFonts w:cs="Arial"/>
          <w:bCs/>
          <w:noProof/>
          <w:sz w:val="36"/>
          <w:szCs w:val="36"/>
        </w:rPr>
        <w:drawing>
          <wp:inline distT="0" distB="0" distL="0" distR="0" wp14:anchorId="457C02EE" wp14:editId="4189402C">
            <wp:extent cx="2553078" cy="851026"/>
            <wp:effectExtent l="0" t="0" r="0" b="6350"/>
            <wp:docPr id="848318650" name="Picture 1" descr="A logo with a black rectangle and re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318650" name="Picture 1" descr="A logo with a black rectangle and red letter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75346" cy="891782"/>
                    </a:xfrm>
                    <a:prstGeom prst="rect">
                      <a:avLst/>
                    </a:prstGeom>
                  </pic:spPr>
                </pic:pic>
              </a:graphicData>
            </a:graphic>
          </wp:inline>
        </w:drawing>
      </w:r>
    </w:p>
    <w:p w14:paraId="05BB8699" w14:textId="335A1655" w:rsidR="00CE701B" w:rsidRPr="00030429" w:rsidRDefault="00CE701B" w:rsidP="00CE701B">
      <w:pPr>
        <w:pStyle w:val="Heading1"/>
        <w:spacing w:line="360" w:lineRule="auto"/>
        <w:ind w:left="-142"/>
        <w:rPr>
          <w:rFonts w:cs="Arial"/>
          <w:b w:val="0"/>
          <w:bCs/>
        </w:rPr>
      </w:pPr>
      <w:r>
        <w:rPr>
          <w:rFonts w:cs="Arial"/>
          <w:bCs/>
          <w:sz w:val="36"/>
          <w:szCs w:val="36"/>
        </w:rPr>
        <w:t xml:space="preserve"> </w:t>
      </w:r>
      <w:r w:rsidRPr="00030429">
        <w:rPr>
          <w:rFonts w:cs="Arial"/>
          <w:bCs/>
          <w:sz w:val="36"/>
          <w:szCs w:val="36"/>
        </w:rPr>
        <w:t xml:space="preserve">Royal County of Berkshire Pension Fund </w:t>
      </w:r>
      <w:r>
        <w:rPr>
          <w:rFonts w:cs="Arial"/>
          <w:bCs/>
        </w:rPr>
        <w:br/>
        <w:t xml:space="preserve"> </w:t>
      </w:r>
      <w:bookmarkStart w:id="1" w:name="_Hlk188256610"/>
      <w:bookmarkEnd w:id="1"/>
      <w:r>
        <w:rPr>
          <w:rFonts w:cs="Arial"/>
          <w:bCs/>
        </w:rPr>
        <w:t>Welcome to the Local Government Pension Scheme</w:t>
      </w:r>
    </w:p>
    <w:p w14:paraId="06274AA4" w14:textId="77777777" w:rsidR="00CE701B" w:rsidRPr="008840D7" w:rsidRDefault="00CE701B" w:rsidP="00CE701B">
      <w:r w:rsidRPr="008749A6">
        <w:rPr>
          <w:noProof/>
          <w:sz w:val="28"/>
          <w:szCs w:val="24"/>
          <w14:textOutline w14:w="15875" w14:cap="rnd" w14:cmpd="sng" w14:algn="ctr">
            <w14:solidFill>
              <w14:schemeClr w14:val="accent2"/>
            </w14:solidFill>
            <w14:prstDash w14:val="solid"/>
            <w14:bevel/>
          </w14:textOutline>
        </w:rPr>
        <mc:AlternateContent>
          <mc:Choice Requires="wps">
            <w:drawing>
              <wp:anchor distT="0" distB="0" distL="114300" distR="114300" simplePos="0" relativeHeight="251667456" behindDoc="0" locked="0" layoutInCell="1" allowOverlap="1" wp14:anchorId="496FBE69" wp14:editId="5EE8A799">
                <wp:simplePos x="0" y="0"/>
                <wp:positionH relativeFrom="page">
                  <wp:align>left</wp:align>
                </wp:positionH>
                <wp:positionV relativeFrom="paragraph">
                  <wp:posOffset>8255</wp:posOffset>
                </wp:positionV>
                <wp:extent cx="8688141"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8688141" cy="0"/>
                        </a:xfrm>
                        <a:prstGeom prst="line">
                          <a:avLst/>
                        </a:prstGeom>
                        <a:ln w="15875"/>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8DDA6C" id="Straight Connector 6" o:spid="_x0000_s1026" style="position:absolute;z-index:25166745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65pt" to="684.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" strokecolor="#ed7d31 [3205]" strokeweight="1.25pt">
                <v:stroke joinstyle="miter"/>
                <w10:wrap anchorx="page"/>
              </v:line>
            </w:pict>
          </mc:Fallback>
        </mc:AlternateContent>
      </w:r>
    </w:p>
    <w:bookmarkEnd w:id="0"/>
    <w:p w14:paraId="7F79B824" w14:textId="113935C9" w:rsidR="0065115D" w:rsidRDefault="0065115D" w:rsidP="0065115D">
      <w:r>
        <w:t xml:space="preserve">The Local Government Pension Scheme (LGPS) is a very important benefit. Not only will it provide you with an income in retirement, payable for life, but it also gives your loved </w:t>
      </w:r>
      <w:proofErr w:type="gramStart"/>
      <w:r>
        <w:t>ones</w:t>
      </w:r>
      <w:proofErr w:type="gramEnd"/>
      <w:r>
        <w:t xml:space="preserve"> financial security in the event of your death or long-term ill-health.</w:t>
      </w:r>
    </w:p>
    <w:p w14:paraId="12B62437" w14:textId="70981B2F" w:rsidR="0028540D" w:rsidRDefault="0028540D" w:rsidP="0065115D"/>
    <w:p w14:paraId="6F1E1F11" w14:textId="7AB923C6" w:rsidR="006D7467" w:rsidRDefault="0028540D" w:rsidP="00295FDF">
      <w:pPr>
        <w:pStyle w:val="Heading2"/>
      </w:pPr>
      <w:r>
        <w:rPr>
          <w:rFonts w:eastAsia="Candara"/>
        </w:rPr>
        <w:t xml:space="preserve">What type of scheme is the LGPS? </w:t>
      </w:r>
    </w:p>
    <w:p w14:paraId="40472B08" w14:textId="03659B54" w:rsidR="0028540D" w:rsidRDefault="0028540D" w:rsidP="0028540D">
      <w:r>
        <w:t xml:space="preserve">The LGPS is a registered pension scheme and is known as a </w:t>
      </w:r>
      <w:r>
        <w:rPr>
          <w:b/>
        </w:rPr>
        <w:t xml:space="preserve">Defined Benefit </w:t>
      </w:r>
      <w:r>
        <w:t xml:space="preserve">pension scheme. The benefits you build up are based on a </w:t>
      </w:r>
      <w:r>
        <w:rPr>
          <w:b/>
        </w:rPr>
        <w:t xml:space="preserve">Career Average Revalued Earnings (CARE) </w:t>
      </w:r>
      <w:r>
        <w:t xml:space="preserve">basis. It is a very secure scheme because the benefits are set out in law. This means that the pension you earn each year is based on your actual pensionable pay received in each scheme year </w:t>
      </w:r>
      <w:r w:rsidR="00FE2031">
        <w:br/>
      </w:r>
      <w:r>
        <w:t>(1 April to 31 March) and not on the contributions you pay as with ‘money-purchase’ pension schemes.</w:t>
      </w:r>
    </w:p>
    <w:p w14:paraId="5780771C" w14:textId="77777777" w:rsidR="006D7467" w:rsidRDefault="006D7467" w:rsidP="0028540D">
      <w:pPr>
        <w:rPr>
          <w:b/>
          <w:color w:val="006C83"/>
          <w:sz w:val="28"/>
        </w:rPr>
      </w:pPr>
    </w:p>
    <w:p w14:paraId="12636A92" w14:textId="69CD3920" w:rsidR="0028540D" w:rsidRDefault="0028540D" w:rsidP="006D7467">
      <w:r>
        <w:t>You will be admitted to the Scheme automatically from your first day of employment, although if you work for a town or parish council, or certain admitted bodies that participate in the Scheme, you may need to be designated by your employer as being eligible to join.</w:t>
      </w:r>
    </w:p>
    <w:p w14:paraId="011581E1" w14:textId="77777777" w:rsidR="006D7467" w:rsidRDefault="006D7467" w:rsidP="006D7467">
      <w:pPr>
        <w:rPr>
          <w:rFonts w:ascii="Candara" w:eastAsia="Candara" w:hAnsi="Candara"/>
          <w:color w:val="000000"/>
          <w:sz w:val="23"/>
        </w:rPr>
      </w:pPr>
    </w:p>
    <w:p w14:paraId="19F6CF3B" w14:textId="77777777" w:rsidR="0028540D" w:rsidRDefault="0028540D" w:rsidP="0028540D">
      <w:r>
        <w:t>Once you are a member you can opt out of the Scheme at any time but once you have 2 years qualifying membership or, you have previous pension rights held with the LGPS you will not be able to claim a refund of the contributions you have paid. Instead you will be entitled to a pension benefit at retirement.</w:t>
      </w:r>
    </w:p>
    <w:p w14:paraId="1657C5AD" w14:textId="77777777" w:rsidR="0028540D" w:rsidRDefault="0028540D" w:rsidP="0065115D"/>
    <w:p w14:paraId="3BE6F938" w14:textId="08D7CA2A" w:rsidR="00056C30" w:rsidRDefault="00056C30" w:rsidP="00295FDF">
      <w:pPr>
        <w:pStyle w:val="Heading2"/>
      </w:pPr>
      <w:r>
        <w:rPr>
          <w:rFonts w:eastAsia="Candara"/>
        </w:rPr>
        <w:t xml:space="preserve">How much does it cost? </w:t>
      </w:r>
    </w:p>
    <w:p w14:paraId="1D8E1A3D" w14:textId="55B1CB21" w:rsidR="00056C30" w:rsidRDefault="00056C30" w:rsidP="00056C30">
      <w:r>
        <w:t xml:space="preserve">The amount you pay into the Scheme will be assessed by your employer in line with the table below and in accordance with your earnings. These salary bands will change from time to time in line with inflation but the rates shown here are valid from </w:t>
      </w:r>
      <w:r>
        <w:rPr>
          <w:b/>
        </w:rPr>
        <w:t>1 April 20</w:t>
      </w:r>
      <w:r w:rsidR="00077CC3">
        <w:rPr>
          <w:b/>
        </w:rPr>
        <w:t>2</w:t>
      </w:r>
      <w:r w:rsidR="00CE701B">
        <w:rPr>
          <w:b/>
        </w:rPr>
        <w:t>5</w:t>
      </w:r>
      <w:r>
        <w:rPr>
          <w:b/>
        </w:rPr>
        <w:t xml:space="preserve"> </w:t>
      </w:r>
      <w:r>
        <w:t xml:space="preserve">to </w:t>
      </w:r>
      <w:r>
        <w:rPr>
          <w:b/>
        </w:rPr>
        <w:t>31 March 20</w:t>
      </w:r>
      <w:r w:rsidR="00077CC3">
        <w:rPr>
          <w:b/>
        </w:rPr>
        <w:t>2</w:t>
      </w:r>
      <w:r w:rsidR="00CE701B">
        <w:rPr>
          <w:b/>
        </w:rPr>
        <w:t>6</w:t>
      </w:r>
      <w:r>
        <w:t>. Your employer also makes a contribution to the Scheme. The rate that your employer pays is set every three years in-line with an actuary’s valuation of the Fund.</w:t>
      </w:r>
    </w:p>
    <w:p w14:paraId="51EEEDCA" w14:textId="77777777" w:rsidR="00846F2D" w:rsidRDefault="00846F2D" w:rsidP="00056C30">
      <w:pPr>
        <w:rPr>
          <w:b/>
          <w:color w:val="006C83"/>
          <w:sz w:val="28"/>
        </w:rPr>
      </w:pPr>
    </w:p>
    <w:p w14:paraId="22601929" w14:textId="3810C4AE" w:rsidR="007B601C" w:rsidRPr="00830DED" w:rsidRDefault="007B601C" w:rsidP="00295FDF">
      <w:pPr>
        <w:pStyle w:val="Heading2"/>
      </w:pPr>
      <w:r>
        <w:rPr>
          <w:rFonts w:eastAsia="Candara"/>
        </w:rPr>
        <w:t>The 50/50 section</w:t>
      </w:r>
      <w:r>
        <w:rPr>
          <w:rFonts w:eastAsia="Candara"/>
          <w:color w:val="000000"/>
          <w:sz w:val="23"/>
        </w:rPr>
        <w:t xml:space="preserve"> </w:t>
      </w:r>
    </w:p>
    <w:p w14:paraId="7BA7A6BB" w14:textId="6E8D30FB" w:rsidR="0065115D" w:rsidRDefault="007B601C" w:rsidP="007B601C">
      <w:pPr>
        <w:spacing w:before="5" w:line="276" w:lineRule="exact"/>
        <w:ind w:right="792"/>
        <w:jc w:val="both"/>
        <w:textAlignment w:val="baseline"/>
        <w:rPr>
          <w:rFonts w:ascii="Candara" w:eastAsia="Candara" w:hAnsi="Candara"/>
          <w:color w:val="000000"/>
          <w:sz w:val="23"/>
        </w:rPr>
      </w:pPr>
      <w:r>
        <w:t xml:space="preserve">There are two sections of the Local Government Pension Scheme (LGPS) the </w:t>
      </w:r>
      <w:r>
        <w:rPr>
          <w:b/>
        </w:rPr>
        <w:t xml:space="preserve">MAIN section </w:t>
      </w:r>
      <w:r>
        <w:t xml:space="preserve">and the </w:t>
      </w:r>
      <w:r>
        <w:rPr>
          <w:b/>
        </w:rPr>
        <w:t>50/50 section</w:t>
      </w:r>
      <w:r>
        <w:t xml:space="preserve">. Under the MAIN section of the </w:t>
      </w:r>
      <w:r w:rsidR="004C6451">
        <w:t>S</w:t>
      </w:r>
      <w:r>
        <w:t>cheme you pay your normal contribution rate to get the normal pension build up. Under the 50/50 section you pay half your normal pension contribution and get half the pension build up in return. Entry into the 50/50 section of the LGPS is designed to be a short-term option for when times are difficult financially.</w:t>
      </w:r>
    </w:p>
    <w:p w14:paraId="4776C42B" w14:textId="77777777" w:rsidR="0065115D" w:rsidRDefault="0065115D" w:rsidP="0065115D">
      <w:pPr>
        <w:spacing w:before="5" w:line="276" w:lineRule="exact"/>
        <w:ind w:left="792" w:right="792"/>
        <w:jc w:val="both"/>
        <w:textAlignment w:val="baseline"/>
        <w:rPr>
          <w:rFonts w:ascii="Candara" w:eastAsia="Candara" w:hAnsi="Candara"/>
          <w:color w:val="000000"/>
          <w:sz w:val="23"/>
        </w:rPr>
      </w:pPr>
    </w:p>
    <w:p w14:paraId="4D8CBBF5" w14:textId="12D6678E" w:rsidR="003B5B4B" w:rsidRDefault="00A7722F" w:rsidP="003B5B4B">
      <w:r>
        <w:t>If you are in the 50/50 section you</w:t>
      </w:r>
      <w:r w:rsidR="003B5B4B">
        <w:t>r employer is required to re-</w:t>
      </w:r>
      <w:proofErr w:type="spellStart"/>
      <w:r w:rsidR="003B5B4B">
        <w:t>enrol</w:t>
      </w:r>
      <w:proofErr w:type="spellEnd"/>
      <w:r w:rsidR="003B5B4B">
        <w:t xml:space="preserve"> you back into the MAIN section of the </w:t>
      </w:r>
      <w:r w:rsidR="00E920EB">
        <w:t>S</w:t>
      </w:r>
      <w:r w:rsidR="003B5B4B">
        <w:t>cheme every three years. This will be carried out in line with your employer’s automatic re-enrolment date. You will also be entered back into the MAIN section if you have a period of long-term sickness where you go into unpaid sickness absence.</w:t>
      </w:r>
    </w:p>
    <w:p w14:paraId="3326B702" w14:textId="6F478DB5" w:rsidR="00A7722F" w:rsidRDefault="00A7722F" w:rsidP="003B5B4B"/>
    <w:p w14:paraId="27144B9F" w14:textId="77777777" w:rsidR="00A7722F" w:rsidRDefault="00A7722F" w:rsidP="003B5B4B"/>
    <w:p w14:paraId="57B6993E" w14:textId="77777777" w:rsidR="00CE701B" w:rsidRDefault="00CE701B" w:rsidP="003B5B4B"/>
    <w:p w14:paraId="7A939CB5" w14:textId="77777777" w:rsidR="00CE701B" w:rsidRDefault="00CE701B" w:rsidP="003B5B4B"/>
    <w:p w14:paraId="13CFC9B3" w14:textId="77777777" w:rsidR="00C54433" w:rsidRDefault="00C54433" w:rsidP="003B5B4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3493"/>
        <w:gridCol w:w="2452"/>
        <w:gridCol w:w="2268"/>
      </w:tblGrid>
      <w:tr w:rsidR="007D2A2F" w14:paraId="17CDA44A" w14:textId="77777777" w:rsidTr="007D2A2F">
        <w:trPr>
          <w:trHeight w:val="583"/>
          <w:jc w:val="center"/>
        </w:trPr>
        <w:tc>
          <w:tcPr>
            <w:tcW w:w="9390" w:type="dxa"/>
            <w:gridSpan w:val="4"/>
            <w:tcBorders>
              <w:right w:val="single" w:sz="4" w:space="0" w:color="auto"/>
            </w:tcBorders>
            <w:shd w:val="clear" w:color="auto" w:fill="auto"/>
            <w:vAlign w:val="center"/>
          </w:tcPr>
          <w:p w14:paraId="5FDF625E" w14:textId="01DF577F" w:rsidR="007D2A2F" w:rsidRPr="007D2A2F" w:rsidRDefault="007D2A2F" w:rsidP="007D2A2F">
            <w:pPr>
              <w:rPr>
                <w:rFonts w:cs="Arial"/>
                <w:b/>
                <w:bCs/>
                <w:szCs w:val="24"/>
              </w:rPr>
            </w:pPr>
            <w:r w:rsidRPr="007D2A2F">
              <w:rPr>
                <w:rFonts w:cs="Arial"/>
                <w:b/>
                <w:bCs/>
                <w:szCs w:val="24"/>
              </w:rPr>
              <w:t>Employee Contribution Table 202</w:t>
            </w:r>
            <w:r w:rsidR="00CE701B">
              <w:rPr>
                <w:rFonts w:cs="Arial"/>
                <w:b/>
                <w:bCs/>
                <w:szCs w:val="24"/>
              </w:rPr>
              <w:t>5</w:t>
            </w:r>
            <w:r w:rsidRPr="007D2A2F">
              <w:rPr>
                <w:rFonts w:cs="Arial"/>
                <w:b/>
                <w:bCs/>
                <w:szCs w:val="24"/>
              </w:rPr>
              <w:t>/202</w:t>
            </w:r>
            <w:r w:rsidR="00CE701B">
              <w:rPr>
                <w:rFonts w:cs="Arial"/>
                <w:b/>
                <w:bCs/>
                <w:szCs w:val="24"/>
              </w:rPr>
              <w:t>6</w:t>
            </w:r>
          </w:p>
        </w:tc>
      </w:tr>
      <w:tr w:rsidR="003E69D8" w14:paraId="546E3124" w14:textId="77777777" w:rsidTr="0079071D">
        <w:trPr>
          <w:trHeight w:val="437"/>
          <w:jc w:val="center"/>
        </w:trPr>
        <w:tc>
          <w:tcPr>
            <w:tcW w:w="1177" w:type="dxa"/>
            <w:shd w:val="clear" w:color="auto" w:fill="auto"/>
            <w:vAlign w:val="center"/>
          </w:tcPr>
          <w:p w14:paraId="539B2F8F" w14:textId="77777777" w:rsidR="003E69D8" w:rsidRPr="002D09FF" w:rsidRDefault="003E69D8" w:rsidP="0079071D">
            <w:pPr>
              <w:jc w:val="center"/>
              <w:rPr>
                <w:rFonts w:cs="Arial"/>
                <w:b/>
                <w:bCs/>
              </w:rPr>
            </w:pPr>
            <w:r w:rsidRPr="002D09FF">
              <w:rPr>
                <w:rFonts w:cs="Arial"/>
                <w:b/>
                <w:bCs/>
                <w:sz w:val="22"/>
              </w:rPr>
              <w:t>Banding</w:t>
            </w:r>
          </w:p>
        </w:tc>
        <w:tc>
          <w:tcPr>
            <w:tcW w:w="3493" w:type="dxa"/>
            <w:shd w:val="clear" w:color="auto" w:fill="auto"/>
            <w:vAlign w:val="center"/>
          </w:tcPr>
          <w:p w14:paraId="037C5AA4" w14:textId="77777777" w:rsidR="003E69D8" w:rsidRPr="002D09FF" w:rsidRDefault="003E69D8" w:rsidP="0079071D">
            <w:pPr>
              <w:jc w:val="center"/>
              <w:rPr>
                <w:rFonts w:cs="Arial"/>
                <w:b/>
                <w:bCs/>
              </w:rPr>
            </w:pPr>
            <w:r w:rsidRPr="002D09FF">
              <w:rPr>
                <w:rFonts w:cs="Arial"/>
                <w:b/>
                <w:bCs/>
                <w:sz w:val="22"/>
              </w:rPr>
              <w:t>Annual Salary Range</w:t>
            </w:r>
          </w:p>
        </w:tc>
        <w:tc>
          <w:tcPr>
            <w:tcW w:w="2452" w:type="dxa"/>
            <w:tcBorders>
              <w:right w:val="single" w:sz="4" w:space="0" w:color="auto"/>
            </w:tcBorders>
            <w:shd w:val="clear" w:color="auto" w:fill="auto"/>
            <w:vAlign w:val="center"/>
          </w:tcPr>
          <w:p w14:paraId="54AE0950" w14:textId="77777777" w:rsidR="003E69D8" w:rsidRPr="002D09FF" w:rsidRDefault="003E69D8" w:rsidP="0079071D">
            <w:pPr>
              <w:jc w:val="center"/>
              <w:rPr>
                <w:rFonts w:cs="Arial"/>
                <w:b/>
                <w:bCs/>
              </w:rPr>
            </w:pPr>
            <w:r w:rsidRPr="002D09FF">
              <w:rPr>
                <w:rFonts w:cs="Arial"/>
                <w:b/>
                <w:bCs/>
                <w:sz w:val="22"/>
              </w:rPr>
              <w:t>MAIN Section</w:t>
            </w:r>
          </w:p>
        </w:tc>
        <w:tc>
          <w:tcPr>
            <w:tcW w:w="2268" w:type="dxa"/>
            <w:tcBorders>
              <w:right w:val="single" w:sz="4" w:space="0" w:color="auto"/>
            </w:tcBorders>
            <w:shd w:val="clear" w:color="auto" w:fill="auto"/>
            <w:vAlign w:val="center"/>
          </w:tcPr>
          <w:p w14:paraId="33A823B2" w14:textId="77777777" w:rsidR="003E69D8" w:rsidRPr="002D09FF" w:rsidRDefault="003E69D8" w:rsidP="0079071D">
            <w:pPr>
              <w:jc w:val="center"/>
              <w:rPr>
                <w:rFonts w:cs="Arial"/>
                <w:b/>
                <w:bCs/>
              </w:rPr>
            </w:pPr>
            <w:r w:rsidRPr="002D09FF">
              <w:rPr>
                <w:rFonts w:cs="Arial"/>
                <w:b/>
                <w:bCs/>
                <w:sz w:val="22"/>
              </w:rPr>
              <w:t>50/50 Section</w:t>
            </w:r>
          </w:p>
        </w:tc>
      </w:tr>
      <w:tr w:rsidR="004C6451" w14:paraId="615A81DE" w14:textId="77777777" w:rsidTr="00350934">
        <w:trPr>
          <w:trHeight w:val="385"/>
          <w:jc w:val="center"/>
        </w:trPr>
        <w:tc>
          <w:tcPr>
            <w:tcW w:w="1177" w:type="dxa"/>
            <w:shd w:val="clear" w:color="auto" w:fill="auto"/>
            <w:vAlign w:val="center"/>
          </w:tcPr>
          <w:p w14:paraId="226004E0" w14:textId="77777777" w:rsidR="004C6451" w:rsidRPr="002D09FF" w:rsidRDefault="004C6451" w:rsidP="004C6451">
            <w:pPr>
              <w:jc w:val="center"/>
              <w:rPr>
                <w:rFonts w:cs="Arial"/>
                <w:b/>
                <w:bCs/>
              </w:rPr>
            </w:pPr>
            <w:r w:rsidRPr="002D09FF">
              <w:rPr>
                <w:rFonts w:cs="Arial"/>
                <w:b/>
                <w:bCs/>
                <w:sz w:val="22"/>
              </w:rPr>
              <w:t>1</w:t>
            </w:r>
          </w:p>
        </w:tc>
        <w:tc>
          <w:tcPr>
            <w:tcW w:w="3493" w:type="dxa"/>
            <w:tcBorders>
              <w:top w:val="nil"/>
              <w:left w:val="nil"/>
              <w:bottom w:val="single" w:sz="8" w:space="0" w:color="auto"/>
              <w:right w:val="single" w:sz="8" w:space="0" w:color="auto"/>
            </w:tcBorders>
            <w:vAlign w:val="center"/>
          </w:tcPr>
          <w:p w14:paraId="58A7D433" w14:textId="70541316" w:rsidR="004C6451" w:rsidRPr="002D09FF" w:rsidRDefault="004C6451" w:rsidP="004C6451">
            <w:pPr>
              <w:jc w:val="center"/>
              <w:rPr>
                <w:rFonts w:cs="Arial"/>
              </w:rPr>
            </w:pPr>
            <w:r>
              <w:rPr>
                <w:rFonts w:cs="Arial"/>
              </w:rPr>
              <w:t>Up to £17,</w:t>
            </w:r>
            <w:r w:rsidR="00CE701B">
              <w:rPr>
                <w:rFonts w:cs="Arial"/>
              </w:rPr>
              <w:t>8</w:t>
            </w:r>
            <w:r>
              <w:rPr>
                <w:rFonts w:cs="Arial"/>
              </w:rPr>
              <w:t>00</w:t>
            </w:r>
          </w:p>
        </w:tc>
        <w:tc>
          <w:tcPr>
            <w:tcW w:w="2452" w:type="dxa"/>
            <w:tcBorders>
              <w:right w:val="single" w:sz="4" w:space="0" w:color="auto"/>
            </w:tcBorders>
            <w:shd w:val="clear" w:color="auto" w:fill="auto"/>
            <w:vAlign w:val="center"/>
          </w:tcPr>
          <w:p w14:paraId="398485AA" w14:textId="77777777" w:rsidR="004C6451" w:rsidRPr="002D09FF" w:rsidRDefault="004C6451" w:rsidP="004C6451">
            <w:pPr>
              <w:jc w:val="center"/>
              <w:rPr>
                <w:rFonts w:cs="Arial"/>
              </w:rPr>
            </w:pPr>
            <w:r w:rsidRPr="002D09FF">
              <w:rPr>
                <w:rFonts w:cs="Arial"/>
                <w:sz w:val="22"/>
              </w:rPr>
              <w:t>5.5%</w:t>
            </w:r>
          </w:p>
        </w:tc>
        <w:tc>
          <w:tcPr>
            <w:tcW w:w="2268" w:type="dxa"/>
            <w:tcBorders>
              <w:right w:val="single" w:sz="4" w:space="0" w:color="auto"/>
            </w:tcBorders>
            <w:shd w:val="clear" w:color="auto" w:fill="auto"/>
            <w:vAlign w:val="center"/>
          </w:tcPr>
          <w:p w14:paraId="2C089C22" w14:textId="77777777" w:rsidR="004C6451" w:rsidRPr="002D09FF" w:rsidRDefault="004C6451" w:rsidP="004C6451">
            <w:pPr>
              <w:jc w:val="center"/>
              <w:rPr>
                <w:rFonts w:cs="Arial"/>
              </w:rPr>
            </w:pPr>
            <w:r w:rsidRPr="002D09FF">
              <w:rPr>
                <w:rFonts w:cs="Arial"/>
                <w:sz w:val="22"/>
              </w:rPr>
              <w:t>2.75%</w:t>
            </w:r>
          </w:p>
        </w:tc>
      </w:tr>
      <w:tr w:rsidR="004C6451" w14:paraId="19BB99BC" w14:textId="77777777" w:rsidTr="00350934">
        <w:trPr>
          <w:trHeight w:val="433"/>
          <w:jc w:val="center"/>
        </w:trPr>
        <w:tc>
          <w:tcPr>
            <w:tcW w:w="1177" w:type="dxa"/>
            <w:shd w:val="clear" w:color="auto" w:fill="auto"/>
            <w:vAlign w:val="center"/>
          </w:tcPr>
          <w:p w14:paraId="6835005B" w14:textId="77777777" w:rsidR="004C6451" w:rsidRPr="002D09FF" w:rsidRDefault="004C6451" w:rsidP="004C6451">
            <w:pPr>
              <w:jc w:val="center"/>
              <w:rPr>
                <w:rFonts w:cs="Arial"/>
                <w:b/>
                <w:bCs/>
              </w:rPr>
            </w:pPr>
            <w:r w:rsidRPr="002D09FF">
              <w:rPr>
                <w:rFonts w:cs="Arial"/>
                <w:b/>
                <w:bCs/>
                <w:sz w:val="22"/>
              </w:rPr>
              <w:t>2</w:t>
            </w:r>
          </w:p>
        </w:tc>
        <w:tc>
          <w:tcPr>
            <w:tcW w:w="3493" w:type="dxa"/>
            <w:tcBorders>
              <w:top w:val="nil"/>
              <w:left w:val="nil"/>
              <w:bottom w:val="single" w:sz="8" w:space="0" w:color="auto"/>
              <w:right w:val="single" w:sz="8" w:space="0" w:color="auto"/>
            </w:tcBorders>
            <w:vAlign w:val="center"/>
          </w:tcPr>
          <w:p w14:paraId="545B93AD" w14:textId="072DFBB0" w:rsidR="004C6451" w:rsidRPr="002D09FF" w:rsidRDefault="004C6451" w:rsidP="004C6451">
            <w:pPr>
              <w:jc w:val="center"/>
              <w:rPr>
                <w:rFonts w:cs="Arial"/>
              </w:rPr>
            </w:pPr>
            <w:r>
              <w:rPr>
                <w:rFonts w:cs="Arial"/>
              </w:rPr>
              <w:t>£17,</w:t>
            </w:r>
            <w:r w:rsidR="00CE701B">
              <w:rPr>
                <w:rFonts w:cs="Arial"/>
              </w:rPr>
              <w:t>8</w:t>
            </w:r>
            <w:r>
              <w:rPr>
                <w:rFonts w:cs="Arial"/>
              </w:rPr>
              <w:t>01 to £2</w:t>
            </w:r>
            <w:r w:rsidR="00CE701B">
              <w:rPr>
                <w:rFonts w:cs="Arial"/>
              </w:rPr>
              <w:t>8</w:t>
            </w:r>
            <w:r>
              <w:rPr>
                <w:rFonts w:cs="Arial"/>
              </w:rPr>
              <w:t>,</w:t>
            </w:r>
            <w:r w:rsidR="00CE701B">
              <w:rPr>
                <w:rFonts w:cs="Arial"/>
              </w:rPr>
              <w:t>0</w:t>
            </w:r>
            <w:r>
              <w:rPr>
                <w:rFonts w:cs="Arial"/>
              </w:rPr>
              <w:t>00</w:t>
            </w:r>
          </w:p>
        </w:tc>
        <w:tc>
          <w:tcPr>
            <w:tcW w:w="2452" w:type="dxa"/>
            <w:tcBorders>
              <w:right w:val="single" w:sz="4" w:space="0" w:color="auto"/>
            </w:tcBorders>
            <w:shd w:val="clear" w:color="auto" w:fill="auto"/>
            <w:vAlign w:val="center"/>
          </w:tcPr>
          <w:p w14:paraId="583D2DE9" w14:textId="77777777" w:rsidR="004C6451" w:rsidRPr="002D09FF" w:rsidRDefault="004C6451" w:rsidP="004C6451">
            <w:pPr>
              <w:jc w:val="center"/>
              <w:rPr>
                <w:rFonts w:cs="Arial"/>
              </w:rPr>
            </w:pPr>
            <w:r w:rsidRPr="002D09FF">
              <w:rPr>
                <w:rFonts w:cs="Arial"/>
                <w:sz w:val="22"/>
              </w:rPr>
              <w:t>5.8%</w:t>
            </w:r>
          </w:p>
        </w:tc>
        <w:tc>
          <w:tcPr>
            <w:tcW w:w="2268" w:type="dxa"/>
            <w:tcBorders>
              <w:right w:val="single" w:sz="4" w:space="0" w:color="auto"/>
            </w:tcBorders>
            <w:shd w:val="clear" w:color="auto" w:fill="auto"/>
            <w:vAlign w:val="center"/>
          </w:tcPr>
          <w:p w14:paraId="3E172A39" w14:textId="77777777" w:rsidR="004C6451" w:rsidRPr="002D09FF" w:rsidRDefault="004C6451" w:rsidP="004C6451">
            <w:pPr>
              <w:jc w:val="center"/>
              <w:rPr>
                <w:rFonts w:cs="Arial"/>
              </w:rPr>
            </w:pPr>
            <w:r w:rsidRPr="002D09FF">
              <w:rPr>
                <w:rFonts w:cs="Arial"/>
                <w:sz w:val="22"/>
              </w:rPr>
              <w:t>2.9%</w:t>
            </w:r>
          </w:p>
        </w:tc>
      </w:tr>
      <w:tr w:rsidR="004C6451" w14:paraId="613D439C" w14:textId="77777777" w:rsidTr="00350934">
        <w:trPr>
          <w:trHeight w:val="398"/>
          <w:jc w:val="center"/>
        </w:trPr>
        <w:tc>
          <w:tcPr>
            <w:tcW w:w="1177" w:type="dxa"/>
            <w:shd w:val="clear" w:color="auto" w:fill="auto"/>
            <w:vAlign w:val="center"/>
          </w:tcPr>
          <w:p w14:paraId="4D0590A5" w14:textId="77777777" w:rsidR="004C6451" w:rsidRPr="002D09FF" w:rsidRDefault="004C6451" w:rsidP="004C6451">
            <w:pPr>
              <w:jc w:val="center"/>
              <w:rPr>
                <w:rFonts w:cs="Arial"/>
                <w:b/>
                <w:bCs/>
              </w:rPr>
            </w:pPr>
            <w:r w:rsidRPr="002D09FF">
              <w:rPr>
                <w:rFonts w:cs="Arial"/>
                <w:b/>
                <w:bCs/>
                <w:sz w:val="22"/>
              </w:rPr>
              <w:t>3</w:t>
            </w:r>
          </w:p>
        </w:tc>
        <w:tc>
          <w:tcPr>
            <w:tcW w:w="3493" w:type="dxa"/>
            <w:tcBorders>
              <w:top w:val="nil"/>
              <w:left w:val="nil"/>
              <w:bottom w:val="single" w:sz="8" w:space="0" w:color="auto"/>
              <w:right w:val="single" w:sz="8" w:space="0" w:color="auto"/>
            </w:tcBorders>
            <w:vAlign w:val="center"/>
          </w:tcPr>
          <w:p w14:paraId="698AF17D" w14:textId="40758BC5" w:rsidR="004C6451" w:rsidRPr="002D09FF" w:rsidRDefault="004C6451" w:rsidP="004C6451">
            <w:pPr>
              <w:jc w:val="center"/>
              <w:rPr>
                <w:rFonts w:cs="Arial"/>
              </w:rPr>
            </w:pPr>
            <w:r>
              <w:rPr>
                <w:rFonts w:cs="Arial"/>
              </w:rPr>
              <w:t>£2</w:t>
            </w:r>
            <w:r w:rsidR="00CE701B">
              <w:rPr>
                <w:rFonts w:cs="Arial"/>
              </w:rPr>
              <w:t>8</w:t>
            </w:r>
            <w:r>
              <w:rPr>
                <w:rFonts w:cs="Arial"/>
              </w:rPr>
              <w:t>,</w:t>
            </w:r>
            <w:r w:rsidR="00CE701B">
              <w:rPr>
                <w:rFonts w:cs="Arial"/>
              </w:rPr>
              <w:t>0</w:t>
            </w:r>
            <w:r>
              <w:rPr>
                <w:rFonts w:cs="Arial"/>
              </w:rPr>
              <w:t>01 to £4</w:t>
            </w:r>
            <w:r w:rsidR="00CE701B">
              <w:rPr>
                <w:rFonts w:cs="Arial"/>
              </w:rPr>
              <w:t>5</w:t>
            </w:r>
            <w:r>
              <w:rPr>
                <w:rFonts w:cs="Arial"/>
              </w:rPr>
              <w:t>,</w:t>
            </w:r>
            <w:r w:rsidR="00CE701B">
              <w:rPr>
                <w:rFonts w:cs="Arial"/>
              </w:rPr>
              <w:t>6</w:t>
            </w:r>
            <w:r>
              <w:rPr>
                <w:rFonts w:cs="Arial"/>
              </w:rPr>
              <w:t>00</w:t>
            </w:r>
          </w:p>
        </w:tc>
        <w:tc>
          <w:tcPr>
            <w:tcW w:w="2452" w:type="dxa"/>
            <w:tcBorders>
              <w:right w:val="single" w:sz="4" w:space="0" w:color="auto"/>
            </w:tcBorders>
            <w:shd w:val="clear" w:color="auto" w:fill="auto"/>
            <w:vAlign w:val="center"/>
          </w:tcPr>
          <w:p w14:paraId="125F49AA" w14:textId="77777777" w:rsidR="004C6451" w:rsidRPr="002D09FF" w:rsidRDefault="004C6451" w:rsidP="004C6451">
            <w:pPr>
              <w:jc w:val="center"/>
              <w:rPr>
                <w:rFonts w:cs="Arial"/>
              </w:rPr>
            </w:pPr>
            <w:r w:rsidRPr="002D09FF">
              <w:rPr>
                <w:rFonts w:cs="Arial"/>
                <w:sz w:val="22"/>
              </w:rPr>
              <w:t>6.5%</w:t>
            </w:r>
          </w:p>
        </w:tc>
        <w:tc>
          <w:tcPr>
            <w:tcW w:w="2268" w:type="dxa"/>
            <w:tcBorders>
              <w:right w:val="single" w:sz="4" w:space="0" w:color="auto"/>
            </w:tcBorders>
            <w:shd w:val="clear" w:color="auto" w:fill="auto"/>
            <w:vAlign w:val="center"/>
          </w:tcPr>
          <w:p w14:paraId="6C99BEE5" w14:textId="77777777" w:rsidR="004C6451" w:rsidRPr="002D09FF" w:rsidRDefault="004C6451" w:rsidP="004C6451">
            <w:pPr>
              <w:jc w:val="center"/>
              <w:rPr>
                <w:rFonts w:cs="Arial"/>
              </w:rPr>
            </w:pPr>
            <w:r w:rsidRPr="002D09FF">
              <w:rPr>
                <w:rFonts w:cs="Arial"/>
                <w:sz w:val="22"/>
              </w:rPr>
              <w:t>3.25%</w:t>
            </w:r>
          </w:p>
        </w:tc>
      </w:tr>
      <w:tr w:rsidR="004C6451" w14:paraId="5828C186" w14:textId="77777777" w:rsidTr="00350934">
        <w:trPr>
          <w:trHeight w:val="431"/>
          <w:jc w:val="center"/>
        </w:trPr>
        <w:tc>
          <w:tcPr>
            <w:tcW w:w="1177" w:type="dxa"/>
            <w:shd w:val="clear" w:color="auto" w:fill="auto"/>
            <w:vAlign w:val="center"/>
          </w:tcPr>
          <w:p w14:paraId="0657B196" w14:textId="77777777" w:rsidR="004C6451" w:rsidRPr="002D09FF" w:rsidRDefault="004C6451" w:rsidP="004C6451">
            <w:pPr>
              <w:jc w:val="center"/>
              <w:rPr>
                <w:rFonts w:cs="Arial"/>
                <w:b/>
                <w:bCs/>
              </w:rPr>
            </w:pPr>
            <w:r w:rsidRPr="002D09FF">
              <w:rPr>
                <w:rFonts w:cs="Arial"/>
                <w:b/>
                <w:bCs/>
                <w:sz w:val="22"/>
              </w:rPr>
              <w:t>4</w:t>
            </w:r>
          </w:p>
        </w:tc>
        <w:tc>
          <w:tcPr>
            <w:tcW w:w="3493" w:type="dxa"/>
            <w:tcBorders>
              <w:top w:val="nil"/>
              <w:left w:val="nil"/>
              <w:bottom w:val="single" w:sz="8" w:space="0" w:color="auto"/>
              <w:right w:val="single" w:sz="8" w:space="0" w:color="auto"/>
            </w:tcBorders>
            <w:vAlign w:val="center"/>
          </w:tcPr>
          <w:p w14:paraId="6D4468E8" w14:textId="461CDD7B" w:rsidR="004C6451" w:rsidRPr="002D09FF" w:rsidRDefault="004C6451" w:rsidP="004C6451">
            <w:pPr>
              <w:jc w:val="center"/>
              <w:rPr>
                <w:rFonts w:cs="Arial"/>
              </w:rPr>
            </w:pPr>
            <w:r>
              <w:rPr>
                <w:rFonts w:cs="Arial"/>
              </w:rPr>
              <w:t>£4</w:t>
            </w:r>
            <w:r w:rsidR="00CE701B">
              <w:rPr>
                <w:rFonts w:cs="Arial"/>
              </w:rPr>
              <w:t>5</w:t>
            </w:r>
            <w:r>
              <w:rPr>
                <w:rFonts w:cs="Arial"/>
              </w:rPr>
              <w:t>,</w:t>
            </w:r>
            <w:r w:rsidR="00CE701B">
              <w:rPr>
                <w:rFonts w:cs="Arial"/>
              </w:rPr>
              <w:t>6</w:t>
            </w:r>
            <w:r>
              <w:rPr>
                <w:rFonts w:cs="Arial"/>
              </w:rPr>
              <w:t>01 to £5</w:t>
            </w:r>
            <w:r w:rsidR="00CE701B">
              <w:rPr>
                <w:rFonts w:cs="Arial"/>
              </w:rPr>
              <w:t>7</w:t>
            </w:r>
            <w:r>
              <w:rPr>
                <w:rFonts w:cs="Arial"/>
              </w:rPr>
              <w:t>,</w:t>
            </w:r>
            <w:r w:rsidR="00CE701B">
              <w:rPr>
                <w:rFonts w:cs="Arial"/>
              </w:rPr>
              <w:t>7</w:t>
            </w:r>
            <w:r>
              <w:rPr>
                <w:rFonts w:cs="Arial"/>
              </w:rPr>
              <w:t>00</w:t>
            </w:r>
          </w:p>
        </w:tc>
        <w:tc>
          <w:tcPr>
            <w:tcW w:w="2452" w:type="dxa"/>
            <w:tcBorders>
              <w:right w:val="single" w:sz="4" w:space="0" w:color="auto"/>
            </w:tcBorders>
            <w:shd w:val="clear" w:color="auto" w:fill="auto"/>
            <w:vAlign w:val="center"/>
          </w:tcPr>
          <w:p w14:paraId="74798CEE" w14:textId="77777777" w:rsidR="004C6451" w:rsidRPr="002D09FF" w:rsidRDefault="004C6451" w:rsidP="004C6451">
            <w:pPr>
              <w:jc w:val="center"/>
              <w:rPr>
                <w:rFonts w:cs="Arial"/>
              </w:rPr>
            </w:pPr>
            <w:r w:rsidRPr="002D09FF">
              <w:rPr>
                <w:rFonts w:cs="Arial"/>
                <w:sz w:val="22"/>
              </w:rPr>
              <w:t>6.8%</w:t>
            </w:r>
          </w:p>
        </w:tc>
        <w:tc>
          <w:tcPr>
            <w:tcW w:w="2268" w:type="dxa"/>
            <w:tcBorders>
              <w:right w:val="single" w:sz="4" w:space="0" w:color="auto"/>
            </w:tcBorders>
            <w:shd w:val="clear" w:color="auto" w:fill="auto"/>
            <w:vAlign w:val="center"/>
          </w:tcPr>
          <w:p w14:paraId="76208204" w14:textId="77777777" w:rsidR="004C6451" w:rsidRPr="002D09FF" w:rsidRDefault="004C6451" w:rsidP="004C6451">
            <w:pPr>
              <w:jc w:val="center"/>
              <w:rPr>
                <w:rFonts w:cs="Arial"/>
              </w:rPr>
            </w:pPr>
            <w:r w:rsidRPr="002D09FF">
              <w:rPr>
                <w:rFonts w:cs="Arial"/>
                <w:sz w:val="22"/>
              </w:rPr>
              <w:t>3.4%</w:t>
            </w:r>
          </w:p>
        </w:tc>
      </w:tr>
      <w:tr w:rsidR="004C6451" w14:paraId="10BCDF8D" w14:textId="77777777" w:rsidTr="00350934">
        <w:trPr>
          <w:trHeight w:val="409"/>
          <w:jc w:val="center"/>
        </w:trPr>
        <w:tc>
          <w:tcPr>
            <w:tcW w:w="1177" w:type="dxa"/>
            <w:shd w:val="clear" w:color="auto" w:fill="auto"/>
            <w:vAlign w:val="center"/>
          </w:tcPr>
          <w:p w14:paraId="2E950514" w14:textId="77777777" w:rsidR="004C6451" w:rsidRPr="002D09FF" w:rsidRDefault="004C6451" w:rsidP="004C6451">
            <w:pPr>
              <w:jc w:val="center"/>
              <w:rPr>
                <w:rFonts w:cs="Arial"/>
                <w:b/>
                <w:bCs/>
              </w:rPr>
            </w:pPr>
            <w:r w:rsidRPr="002D09FF">
              <w:rPr>
                <w:rFonts w:cs="Arial"/>
                <w:b/>
                <w:bCs/>
                <w:sz w:val="22"/>
              </w:rPr>
              <w:t>5</w:t>
            </w:r>
          </w:p>
        </w:tc>
        <w:tc>
          <w:tcPr>
            <w:tcW w:w="3493" w:type="dxa"/>
            <w:tcBorders>
              <w:top w:val="nil"/>
              <w:left w:val="nil"/>
              <w:bottom w:val="single" w:sz="8" w:space="0" w:color="auto"/>
              <w:right w:val="single" w:sz="8" w:space="0" w:color="auto"/>
            </w:tcBorders>
            <w:vAlign w:val="center"/>
          </w:tcPr>
          <w:p w14:paraId="25F08A1D" w14:textId="4C65BA3A" w:rsidR="004C6451" w:rsidRPr="002D09FF" w:rsidRDefault="004C6451" w:rsidP="004C6451">
            <w:pPr>
              <w:jc w:val="center"/>
              <w:rPr>
                <w:rFonts w:cs="Arial"/>
              </w:rPr>
            </w:pPr>
            <w:r>
              <w:rPr>
                <w:rFonts w:cs="Arial"/>
              </w:rPr>
              <w:t>£5</w:t>
            </w:r>
            <w:r w:rsidR="00CE701B">
              <w:rPr>
                <w:rFonts w:cs="Arial"/>
              </w:rPr>
              <w:t>7</w:t>
            </w:r>
            <w:r>
              <w:rPr>
                <w:rFonts w:cs="Arial"/>
              </w:rPr>
              <w:t>,</w:t>
            </w:r>
            <w:r w:rsidR="00CE701B">
              <w:rPr>
                <w:rFonts w:cs="Arial"/>
              </w:rPr>
              <w:t>7</w:t>
            </w:r>
            <w:r>
              <w:rPr>
                <w:rFonts w:cs="Arial"/>
              </w:rPr>
              <w:t>01 to £</w:t>
            </w:r>
            <w:r w:rsidR="00CE701B">
              <w:rPr>
                <w:rFonts w:cs="Arial"/>
              </w:rPr>
              <w:t>81</w:t>
            </w:r>
            <w:r>
              <w:rPr>
                <w:rFonts w:cs="Arial"/>
              </w:rPr>
              <w:t>,</w:t>
            </w:r>
            <w:r w:rsidR="00CE701B">
              <w:rPr>
                <w:rFonts w:cs="Arial"/>
              </w:rPr>
              <w:t>0</w:t>
            </w:r>
            <w:r>
              <w:rPr>
                <w:rFonts w:cs="Arial"/>
              </w:rPr>
              <w:t>00</w:t>
            </w:r>
          </w:p>
        </w:tc>
        <w:tc>
          <w:tcPr>
            <w:tcW w:w="2452" w:type="dxa"/>
            <w:tcBorders>
              <w:right w:val="single" w:sz="4" w:space="0" w:color="auto"/>
            </w:tcBorders>
            <w:shd w:val="clear" w:color="auto" w:fill="auto"/>
            <w:vAlign w:val="center"/>
          </w:tcPr>
          <w:p w14:paraId="17EF36B5" w14:textId="77777777" w:rsidR="004C6451" w:rsidRPr="002D09FF" w:rsidRDefault="004C6451" w:rsidP="004C6451">
            <w:pPr>
              <w:jc w:val="center"/>
              <w:rPr>
                <w:rFonts w:cs="Arial"/>
              </w:rPr>
            </w:pPr>
            <w:r w:rsidRPr="002D09FF">
              <w:rPr>
                <w:rFonts w:cs="Arial"/>
                <w:sz w:val="22"/>
              </w:rPr>
              <w:t>8.5%</w:t>
            </w:r>
          </w:p>
        </w:tc>
        <w:tc>
          <w:tcPr>
            <w:tcW w:w="2268" w:type="dxa"/>
            <w:tcBorders>
              <w:right w:val="single" w:sz="4" w:space="0" w:color="auto"/>
            </w:tcBorders>
            <w:shd w:val="clear" w:color="auto" w:fill="auto"/>
            <w:vAlign w:val="center"/>
          </w:tcPr>
          <w:p w14:paraId="4F126BC2" w14:textId="77777777" w:rsidR="004C6451" w:rsidRPr="002D09FF" w:rsidRDefault="004C6451" w:rsidP="004C6451">
            <w:pPr>
              <w:jc w:val="center"/>
              <w:rPr>
                <w:rFonts w:cs="Arial"/>
              </w:rPr>
            </w:pPr>
            <w:r w:rsidRPr="002D09FF">
              <w:rPr>
                <w:rFonts w:cs="Arial"/>
                <w:sz w:val="22"/>
              </w:rPr>
              <w:t>4.25%</w:t>
            </w:r>
          </w:p>
        </w:tc>
      </w:tr>
      <w:tr w:rsidR="004C6451" w14:paraId="1F61FB7A" w14:textId="77777777" w:rsidTr="00350934">
        <w:trPr>
          <w:trHeight w:val="415"/>
          <w:jc w:val="center"/>
        </w:trPr>
        <w:tc>
          <w:tcPr>
            <w:tcW w:w="1177" w:type="dxa"/>
            <w:shd w:val="clear" w:color="auto" w:fill="auto"/>
            <w:vAlign w:val="center"/>
          </w:tcPr>
          <w:p w14:paraId="38D8D12E" w14:textId="77777777" w:rsidR="004C6451" w:rsidRPr="002D09FF" w:rsidRDefault="004C6451" w:rsidP="004C6451">
            <w:pPr>
              <w:jc w:val="center"/>
              <w:rPr>
                <w:rFonts w:cs="Arial"/>
                <w:b/>
                <w:bCs/>
              </w:rPr>
            </w:pPr>
            <w:r w:rsidRPr="002D09FF">
              <w:rPr>
                <w:rFonts w:cs="Arial"/>
                <w:b/>
                <w:bCs/>
                <w:sz w:val="22"/>
              </w:rPr>
              <w:t>6</w:t>
            </w:r>
          </w:p>
        </w:tc>
        <w:tc>
          <w:tcPr>
            <w:tcW w:w="3493" w:type="dxa"/>
            <w:tcBorders>
              <w:top w:val="nil"/>
              <w:left w:val="nil"/>
              <w:bottom w:val="single" w:sz="8" w:space="0" w:color="auto"/>
              <w:right w:val="single" w:sz="8" w:space="0" w:color="auto"/>
            </w:tcBorders>
            <w:vAlign w:val="center"/>
          </w:tcPr>
          <w:p w14:paraId="70DDAAF3" w14:textId="73AD62CF" w:rsidR="004C6451" w:rsidRPr="002D09FF" w:rsidRDefault="004C6451" w:rsidP="004C6451">
            <w:pPr>
              <w:jc w:val="center"/>
              <w:rPr>
                <w:rFonts w:cs="Arial"/>
              </w:rPr>
            </w:pPr>
            <w:r>
              <w:rPr>
                <w:rFonts w:cs="Arial"/>
              </w:rPr>
              <w:t>£</w:t>
            </w:r>
            <w:r w:rsidR="00CE701B">
              <w:rPr>
                <w:rFonts w:cs="Arial"/>
              </w:rPr>
              <w:t>81</w:t>
            </w:r>
            <w:r>
              <w:rPr>
                <w:rFonts w:cs="Arial"/>
              </w:rPr>
              <w:t>,</w:t>
            </w:r>
            <w:r w:rsidR="00CE701B">
              <w:rPr>
                <w:rFonts w:cs="Arial"/>
              </w:rPr>
              <w:t>0</w:t>
            </w:r>
            <w:r>
              <w:rPr>
                <w:rFonts w:cs="Arial"/>
              </w:rPr>
              <w:t>01 to £11</w:t>
            </w:r>
            <w:r w:rsidR="00CE701B">
              <w:rPr>
                <w:rFonts w:cs="Arial"/>
              </w:rPr>
              <w:t>4</w:t>
            </w:r>
            <w:r>
              <w:rPr>
                <w:rFonts w:cs="Arial"/>
              </w:rPr>
              <w:t>,</w:t>
            </w:r>
            <w:r w:rsidR="00CE701B">
              <w:rPr>
                <w:rFonts w:cs="Arial"/>
              </w:rPr>
              <w:t>8</w:t>
            </w:r>
            <w:r>
              <w:rPr>
                <w:rFonts w:cs="Arial"/>
              </w:rPr>
              <w:t>00</w:t>
            </w:r>
          </w:p>
        </w:tc>
        <w:tc>
          <w:tcPr>
            <w:tcW w:w="2452" w:type="dxa"/>
            <w:tcBorders>
              <w:right w:val="single" w:sz="4" w:space="0" w:color="auto"/>
            </w:tcBorders>
            <w:shd w:val="clear" w:color="auto" w:fill="auto"/>
            <w:vAlign w:val="center"/>
          </w:tcPr>
          <w:p w14:paraId="02F412EF" w14:textId="77777777" w:rsidR="004C6451" w:rsidRPr="002D09FF" w:rsidRDefault="004C6451" w:rsidP="004C6451">
            <w:pPr>
              <w:jc w:val="center"/>
              <w:rPr>
                <w:rFonts w:cs="Arial"/>
              </w:rPr>
            </w:pPr>
            <w:r w:rsidRPr="002D09FF">
              <w:rPr>
                <w:rFonts w:cs="Arial"/>
                <w:sz w:val="22"/>
              </w:rPr>
              <w:t>9.9%</w:t>
            </w:r>
          </w:p>
        </w:tc>
        <w:tc>
          <w:tcPr>
            <w:tcW w:w="2268" w:type="dxa"/>
            <w:tcBorders>
              <w:right w:val="single" w:sz="4" w:space="0" w:color="auto"/>
            </w:tcBorders>
            <w:shd w:val="clear" w:color="auto" w:fill="auto"/>
            <w:vAlign w:val="center"/>
          </w:tcPr>
          <w:p w14:paraId="6887089A" w14:textId="77777777" w:rsidR="004C6451" w:rsidRPr="002D09FF" w:rsidRDefault="004C6451" w:rsidP="004C6451">
            <w:pPr>
              <w:jc w:val="center"/>
              <w:rPr>
                <w:rFonts w:cs="Arial"/>
              </w:rPr>
            </w:pPr>
            <w:r w:rsidRPr="002D09FF">
              <w:rPr>
                <w:rFonts w:cs="Arial"/>
                <w:sz w:val="22"/>
              </w:rPr>
              <w:t>4.95%</w:t>
            </w:r>
          </w:p>
        </w:tc>
      </w:tr>
      <w:tr w:rsidR="004C6451" w14:paraId="4F5C384F" w14:textId="77777777" w:rsidTr="00350934">
        <w:trPr>
          <w:trHeight w:val="408"/>
          <w:jc w:val="center"/>
        </w:trPr>
        <w:tc>
          <w:tcPr>
            <w:tcW w:w="1177" w:type="dxa"/>
            <w:shd w:val="clear" w:color="auto" w:fill="auto"/>
            <w:vAlign w:val="center"/>
          </w:tcPr>
          <w:p w14:paraId="0CF947A6" w14:textId="77777777" w:rsidR="004C6451" w:rsidRPr="002D09FF" w:rsidRDefault="004C6451" w:rsidP="004C6451">
            <w:pPr>
              <w:jc w:val="center"/>
              <w:rPr>
                <w:rFonts w:cs="Arial"/>
                <w:b/>
                <w:bCs/>
              </w:rPr>
            </w:pPr>
            <w:r w:rsidRPr="002D09FF">
              <w:rPr>
                <w:rFonts w:cs="Arial"/>
                <w:b/>
                <w:bCs/>
                <w:sz w:val="22"/>
              </w:rPr>
              <w:t>7</w:t>
            </w:r>
          </w:p>
        </w:tc>
        <w:tc>
          <w:tcPr>
            <w:tcW w:w="3493" w:type="dxa"/>
            <w:tcBorders>
              <w:top w:val="nil"/>
              <w:left w:val="nil"/>
              <w:bottom w:val="single" w:sz="8" w:space="0" w:color="auto"/>
              <w:right w:val="single" w:sz="8" w:space="0" w:color="auto"/>
            </w:tcBorders>
            <w:vAlign w:val="center"/>
          </w:tcPr>
          <w:p w14:paraId="523E53FD" w14:textId="67B07A9C" w:rsidR="004C6451" w:rsidRPr="002D09FF" w:rsidRDefault="004C6451" w:rsidP="004C6451">
            <w:pPr>
              <w:jc w:val="center"/>
              <w:rPr>
                <w:rFonts w:cs="Arial"/>
              </w:rPr>
            </w:pPr>
            <w:r>
              <w:rPr>
                <w:rFonts w:cs="Arial"/>
              </w:rPr>
              <w:t>£11</w:t>
            </w:r>
            <w:r w:rsidR="00CE701B">
              <w:rPr>
                <w:rFonts w:cs="Arial"/>
              </w:rPr>
              <w:t>4</w:t>
            </w:r>
            <w:r>
              <w:rPr>
                <w:rFonts w:cs="Arial"/>
              </w:rPr>
              <w:t>,</w:t>
            </w:r>
            <w:r w:rsidR="00CE701B">
              <w:rPr>
                <w:rFonts w:cs="Arial"/>
              </w:rPr>
              <w:t>8</w:t>
            </w:r>
            <w:r>
              <w:rPr>
                <w:rFonts w:cs="Arial"/>
              </w:rPr>
              <w:t>01 to £13</w:t>
            </w:r>
            <w:r w:rsidR="00CE701B">
              <w:rPr>
                <w:rFonts w:cs="Arial"/>
              </w:rPr>
              <w:t>5</w:t>
            </w:r>
            <w:r>
              <w:rPr>
                <w:rFonts w:cs="Arial"/>
              </w:rPr>
              <w:t>,</w:t>
            </w:r>
            <w:r w:rsidR="00CE701B">
              <w:rPr>
                <w:rFonts w:cs="Arial"/>
              </w:rPr>
              <w:t>3</w:t>
            </w:r>
            <w:r>
              <w:rPr>
                <w:rFonts w:cs="Arial"/>
              </w:rPr>
              <w:t>00</w:t>
            </w:r>
          </w:p>
        </w:tc>
        <w:tc>
          <w:tcPr>
            <w:tcW w:w="2452" w:type="dxa"/>
            <w:tcBorders>
              <w:right w:val="single" w:sz="4" w:space="0" w:color="auto"/>
            </w:tcBorders>
            <w:shd w:val="clear" w:color="auto" w:fill="auto"/>
            <w:vAlign w:val="center"/>
          </w:tcPr>
          <w:p w14:paraId="3C2902F4" w14:textId="77777777" w:rsidR="004C6451" w:rsidRPr="002D09FF" w:rsidRDefault="004C6451" w:rsidP="004C6451">
            <w:pPr>
              <w:jc w:val="center"/>
              <w:rPr>
                <w:rFonts w:cs="Arial"/>
              </w:rPr>
            </w:pPr>
            <w:r w:rsidRPr="002D09FF">
              <w:rPr>
                <w:rFonts w:cs="Arial"/>
                <w:sz w:val="22"/>
              </w:rPr>
              <w:t>10.5%</w:t>
            </w:r>
          </w:p>
        </w:tc>
        <w:tc>
          <w:tcPr>
            <w:tcW w:w="2268" w:type="dxa"/>
            <w:tcBorders>
              <w:right w:val="single" w:sz="4" w:space="0" w:color="auto"/>
            </w:tcBorders>
            <w:shd w:val="clear" w:color="auto" w:fill="auto"/>
            <w:vAlign w:val="center"/>
          </w:tcPr>
          <w:p w14:paraId="0C630FA7" w14:textId="77777777" w:rsidR="004C6451" w:rsidRPr="002D09FF" w:rsidRDefault="004C6451" w:rsidP="004C6451">
            <w:pPr>
              <w:jc w:val="center"/>
              <w:rPr>
                <w:rFonts w:cs="Arial"/>
              </w:rPr>
            </w:pPr>
            <w:r w:rsidRPr="002D09FF">
              <w:rPr>
                <w:rFonts w:cs="Arial"/>
                <w:sz w:val="22"/>
              </w:rPr>
              <w:t>5.25%</w:t>
            </w:r>
          </w:p>
        </w:tc>
      </w:tr>
      <w:tr w:rsidR="004C6451" w14:paraId="3E83DD52" w14:textId="77777777" w:rsidTr="00350934">
        <w:trPr>
          <w:trHeight w:val="413"/>
          <w:jc w:val="center"/>
        </w:trPr>
        <w:tc>
          <w:tcPr>
            <w:tcW w:w="1177" w:type="dxa"/>
            <w:shd w:val="clear" w:color="auto" w:fill="auto"/>
            <w:vAlign w:val="center"/>
          </w:tcPr>
          <w:p w14:paraId="1FE902D9" w14:textId="77777777" w:rsidR="004C6451" w:rsidRPr="002D09FF" w:rsidRDefault="004C6451" w:rsidP="004C6451">
            <w:pPr>
              <w:jc w:val="center"/>
              <w:rPr>
                <w:rFonts w:cs="Arial"/>
                <w:b/>
                <w:bCs/>
              </w:rPr>
            </w:pPr>
            <w:r w:rsidRPr="002D09FF">
              <w:rPr>
                <w:rFonts w:cs="Arial"/>
                <w:b/>
                <w:bCs/>
                <w:sz w:val="22"/>
              </w:rPr>
              <w:t>8</w:t>
            </w:r>
          </w:p>
        </w:tc>
        <w:tc>
          <w:tcPr>
            <w:tcW w:w="3493" w:type="dxa"/>
            <w:tcBorders>
              <w:top w:val="nil"/>
              <w:left w:val="nil"/>
              <w:bottom w:val="single" w:sz="8" w:space="0" w:color="auto"/>
              <w:right w:val="single" w:sz="8" w:space="0" w:color="auto"/>
            </w:tcBorders>
            <w:vAlign w:val="center"/>
          </w:tcPr>
          <w:p w14:paraId="491EF1A2" w14:textId="37B094E6" w:rsidR="004C6451" w:rsidRPr="002D09FF" w:rsidRDefault="004C6451" w:rsidP="004C6451">
            <w:pPr>
              <w:jc w:val="center"/>
              <w:rPr>
                <w:rFonts w:cs="Arial"/>
              </w:rPr>
            </w:pPr>
            <w:r>
              <w:rPr>
                <w:rFonts w:cs="Arial"/>
              </w:rPr>
              <w:t>£13</w:t>
            </w:r>
            <w:r w:rsidR="00CE701B">
              <w:rPr>
                <w:rFonts w:cs="Arial"/>
              </w:rPr>
              <w:t>5</w:t>
            </w:r>
            <w:r>
              <w:rPr>
                <w:rFonts w:cs="Arial"/>
              </w:rPr>
              <w:t>,</w:t>
            </w:r>
            <w:r w:rsidR="00CE701B">
              <w:rPr>
                <w:rFonts w:cs="Arial"/>
              </w:rPr>
              <w:t>3</w:t>
            </w:r>
            <w:r>
              <w:rPr>
                <w:rFonts w:cs="Arial"/>
              </w:rPr>
              <w:t>01 to £</w:t>
            </w:r>
            <w:r w:rsidR="00CE701B">
              <w:rPr>
                <w:rFonts w:cs="Arial"/>
              </w:rPr>
              <w:t>203</w:t>
            </w:r>
            <w:r>
              <w:rPr>
                <w:rFonts w:cs="Arial"/>
              </w:rPr>
              <w:t>,</w:t>
            </w:r>
            <w:r w:rsidR="00CE701B">
              <w:rPr>
                <w:rFonts w:cs="Arial"/>
              </w:rPr>
              <w:t>0</w:t>
            </w:r>
            <w:r>
              <w:rPr>
                <w:rFonts w:cs="Arial"/>
              </w:rPr>
              <w:t>00</w:t>
            </w:r>
          </w:p>
        </w:tc>
        <w:tc>
          <w:tcPr>
            <w:tcW w:w="2452" w:type="dxa"/>
            <w:tcBorders>
              <w:right w:val="single" w:sz="4" w:space="0" w:color="auto"/>
            </w:tcBorders>
            <w:shd w:val="clear" w:color="auto" w:fill="auto"/>
            <w:vAlign w:val="center"/>
          </w:tcPr>
          <w:p w14:paraId="4328B389" w14:textId="77777777" w:rsidR="004C6451" w:rsidRPr="002D09FF" w:rsidRDefault="004C6451" w:rsidP="004C6451">
            <w:pPr>
              <w:jc w:val="center"/>
              <w:rPr>
                <w:rFonts w:cs="Arial"/>
              </w:rPr>
            </w:pPr>
            <w:r w:rsidRPr="002D09FF">
              <w:rPr>
                <w:rFonts w:cs="Arial"/>
                <w:sz w:val="22"/>
              </w:rPr>
              <w:t>11.4%</w:t>
            </w:r>
          </w:p>
        </w:tc>
        <w:tc>
          <w:tcPr>
            <w:tcW w:w="2268" w:type="dxa"/>
            <w:tcBorders>
              <w:right w:val="single" w:sz="4" w:space="0" w:color="auto"/>
            </w:tcBorders>
            <w:shd w:val="clear" w:color="auto" w:fill="auto"/>
            <w:vAlign w:val="center"/>
          </w:tcPr>
          <w:p w14:paraId="0B7C66E4" w14:textId="77777777" w:rsidR="004C6451" w:rsidRPr="002D09FF" w:rsidRDefault="004C6451" w:rsidP="004C6451">
            <w:pPr>
              <w:jc w:val="center"/>
              <w:rPr>
                <w:rFonts w:cs="Arial"/>
              </w:rPr>
            </w:pPr>
            <w:r w:rsidRPr="002D09FF">
              <w:rPr>
                <w:rFonts w:cs="Arial"/>
                <w:sz w:val="22"/>
              </w:rPr>
              <w:t>5.7%</w:t>
            </w:r>
          </w:p>
        </w:tc>
      </w:tr>
      <w:tr w:rsidR="004C6451" w14:paraId="7A26BC00" w14:textId="77777777" w:rsidTr="00350934">
        <w:trPr>
          <w:trHeight w:val="469"/>
          <w:jc w:val="center"/>
        </w:trPr>
        <w:tc>
          <w:tcPr>
            <w:tcW w:w="1177" w:type="dxa"/>
            <w:shd w:val="clear" w:color="auto" w:fill="auto"/>
            <w:vAlign w:val="center"/>
          </w:tcPr>
          <w:p w14:paraId="63CE57DF" w14:textId="77777777" w:rsidR="004C6451" w:rsidRPr="002D09FF" w:rsidRDefault="004C6451" w:rsidP="004C6451">
            <w:pPr>
              <w:jc w:val="center"/>
              <w:rPr>
                <w:rFonts w:cs="Arial"/>
                <w:b/>
                <w:bCs/>
              </w:rPr>
            </w:pPr>
            <w:r w:rsidRPr="002D09FF">
              <w:rPr>
                <w:rFonts w:cs="Arial"/>
                <w:b/>
                <w:bCs/>
                <w:sz w:val="22"/>
              </w:rPr>
              <w:t>9</w:t>
            </w:r>
          </w:p>
        </w:tc>
        <w:tc>
          <w:tcPr>
            <w:tcW w:w="3493" w:type="dxa"/>
            <w:tcBorders>
              <w:top w:val="nil"/>
              <w:left w:val="nil"/>
              <w:bottom w:val="single" w:sz="8" w:space="0" w:color="auto"/>
              <w:right w:val="single" w:sz="8" w:space="0" w:color="auto"/>
            </w:tcBorders>
            <w:vAlign w:val="center"/>
          </w:tcPr>
          <w:p w14:paraId="7E0DF1FB" w14:textId="4892BCB4" w:rsidR="004C6451" w:rsidRPr="002D09FF" w:rsidRDefault="004C6451" w:rsidP="004C6451">
            <w:pPr>
              <w:jc w:val="center"/>
              <w:rPr>
                <w:rFonts w:cs="Arial"/>
              </w:rPr>
            </w:pPr>
            <w:r>
              <w:rPr>
                <w:rFonts w:cs="Arial"/>
              </w:rPr>
              <w:t>£</w:t>
            </w:r>
            <w:r w:rsidR="00CE701B">
              <w:rPr>
                <w:rFonts w:cs="Arial"/>
              </w:rPr>
              <w:t>203</w:t>
            </w:r>
            <w:r>
              <w:rPr>
                <w:rFonts w:cs="Arial"/>
              </w:rPr>
              <w:t>,</w:t>
            </w:r>
            <w:r w:rsidR="00CE701B">
              <w:rPr>
                <w:rFonts w:cs="Arial"/>
              </w:rPr>
              <w:t>0</w:t>
            </w:r>
            <w:r>
              <w:rPr>
                <w:rFonts w:cs="Arial"/>
              </w:rPr>
              <w:t>01 or more</w:t>
            </w:r>
          </w:p>
        </w:tc>
        <w:tc>
          <w:tcPr>
            <w:tcW w:w="2452" w:type="dxa"/>
            <w:tcBorders>
              <w:right w:val="single" w:sz="4" w:space="0" w:color="auto"/>
            </w:tcBorders>
            <w:shd w:val="clear" w:color="auto" w:fill="auto"/>
            <w:vAlign w:val="center"/>
          </w:tcPr>
          <w:p w14:paraId="78092091" w14:textId="77777777" w:rsidR="004C6451" w:rsidRPr="002D09FF" w:rsidRDefault="004C6451" w:rsidP="004C6451">
            <w:pPr>
              <w:jc w:val="center"/>
              <w:rPr>
                <w:rFonts w:cs="Arial"/>
              </w:rPr>
            </w:pPr>
            <w:r w:rsidRPr="002D09FF">
              <w:rPr>
                <w:rFonts w:cs="Arial"/>
                <w:sz w:val="22"/>
              </w:rPr>
              <w:t>12.5%</w:t>
            </w:r>
          </w:p>
        </w:tc>
        <w:tc>
          <w:tcPr>
            <w:tcW w:w="2268" w:type="dxa"/>
            <w:tcBorders>
              <w:right w:val="single" w:sz="4" w:space="0" w:color="auto"/>
            </w:tcBorders>
            <w:shd w:val="clear" w:color="auto" w:fill="auto"/>
            <w:vAlign w:val="center"/>
          </w:tcPr>
          <w:p w14:paraId="11335A95" w14:textId="77777777" w:rsidR="004C6451" w:rsidRPr="002D09FF" w:rsidRDefault="004C6451" w:rsidP="004C6451">
            <w:pPr>
              <w:jc w:val="center"/>
              <w:rPr>
                <w:rFonts w:cs="Arial"/>
              </w:rPr>
            </w:pPr>
            <w:r w:rsidRPr="002D09FF">
              <w:rPr>
                <w:rFonts w:cs="Arial"/>
                <w:sz w:val="22"/>
              </w:rPr>
              <w:t>6.25%</w:t>
            </w:r>
          </w:p>
        </w:tc>
      </w:tr>
    </w:tbl>
    <w:p w14:paraId="40B95A20" w14:textId="3B321248" w:rsidR="00077CC3" w:rsidRDefault="00077CC3" w:rsidP="003B5B4B">
      <w:pPr>
        <w:rPr>
          <w:b/>
          <w:color w:val="006C83"/>
          <w:sz w:val="28"/>
        </w:rPr>
      </w:pPr>
    </w:p>
    <w:p w14:paraId="492B95AB" w14:textId="3A360B8A" w:rsidR="00491FFE" w:rsidRDefault="00491FFE" w:rsidP="00491FFE">
      <w:pPr>
        <w:pStyle w:val="Heading2"/>
      </w:pPr>
      <w:r>
        <w:rPr>
          <w:rFonts w:eastAsia="Candara"/>
        </w:rPr>
        <w:t xml:space="preserve">Transferring former pension rights </w:t>
      </w:r>
    </w:p>
    <w:p w14:paraId="68200076" w14:textId="3E079C94" w:rsidR="00304CFF" w:rsidRDefault="00491FFE" w:rsidP="00491FFE">
      <w:r>
        <w:t xml:space="preserve">You can transfer former pension rights into the LGPS from previous schemes in which you have been a member. You MUST apply to transfer any former benefits into the LGPS </w:t>
      </w:r>
      <w:r w:rsidRPr="00CE701B">
        <w:rPr>
          <w:b/>
          <w:bCs/>
        </w:rPr>
        <w:t>within 12 months of joining the Scheme</w:t>
      </w:r>
      <w:r w:rsidR="00CE701B">
        <w:t xml:space="preserve"> (</w:t>
      </w:r>
      <w:r>
        <w:t>although your employer can extend this period at their discretion</w:t>
      </w:r>
      <w:r w:rsidR="00CE701B">
        <w:t>)</w:t>
      </w:r>
      <w:r>
        <w:t>. There are also options available to you to pay more contributions in order to increase your income in retirement. Further information on both of these issues can be found on our website.</w:t>
      </w:r>
    </w:p>
    <w:p w14:paraId="7DE932AF" w14:textId="77777777" w:rsidR="004C5D05" w:rsidRDefault="004C5D05" w:rsidP="00491FFE"/>
    <w:p w14:paraId="7851B8DD" w14:textId="3404CD66" w:rsidR="004C5D05" w:rsidRDefault="004C5D05" w:rsidP="004C5D05">
      <w:pPr>
        <w:pStyle w:val="Heading2"/>
        <w:rPr>
          <w:rFonts w:eastAsia="Candara"/>
        </w:rPr>
      </w:pPr>
      <w:r>
        <w:rPr>
          <w:rFonts w:eastAsia="Candara"/>
        </w:rPr>
        <w:t>When can I claim my pension?</w:t>
      </w:r>
    </w:p>
    <w:p w14:paraId="363F39B0" w14:textId="2061A90D" w:rsidR="004C5D05" w:rsidRDefault="004C5D05" w:rsidP="004C5D05">
      <w:r>
        <w:t xml:space="preserve">You can retire and receive your LGPS benefits from your Normal Pension Age (NPA) which is </w:t>
      </w:r>
      <w:r>
        <w:rPr>
          <w:b/>
        </w:rPr>
        <w:t xml:space="preserve">equal to your State Pension Age (SPA) </w:t>
      </w:r>
      <w:r>
        <w:t>with a minimum age of 65. Benefits can be paid earlier from the age of 55, although this may result in your benefits being reduced to reflect their early payment.</w:t>
      </w:r>
      <w:r w:rsidR="0061398A">
        <w:t xml:space="preserve"> </w:t>
      </w:r>
      <w:r w:rsidR="0061398A" w:rsidRPr="0061398A">
        <w:rPr>
          <w:b/>
          <w:bCs/>
        </w:rPr>
        <w:t>P</w:t>
      </w:r>
      <w:r w:rsidR="0061398A" w:rsidRPr="003D3D47">
        <w:rPr>
          <w:rFonts w:eastAsia="Arial"/>
          <w:b/>
          <w:bCs/>
          <w:color w:val="272723"/>
        </w:rPr>
        <w:t>lease note the Minimum Retirement Age is expected to increase to 57 from April 2028</w:t>
      </w:r>
      <w:r w:rsidR="0061398A">
        <w:rPr>
          <w:rFonts w:eastAsia="Arial"/>
          <w:b/>
          <w:bCs/>
          <w:color w:val="272723"/>
        </w:rPr>
        <w:t>.</w:t>
      </w:r>
    </w:p>
    <w:p w14:paraId="788E7387" w14:textId="77777777" w:rsidR="00CF0EF4" w:rsidRDefault="00CF0EF4" w:rsidP="004C5D05">
      <w:pPr>
        <w:rPr>
          <w:b/>
          <w:color w:val="006C83"/>
          <w:sz w:val="28"/>
        </w:rPr>
      </w:pPr>
    </w:p>
    <w:p w14:paraId="15E7F5D6" w14:textId="77777777" w:rsidR="00F02E07" w:rsidRDefault="00CF0EF4" w:rsidP="00CF0EF4">
      <w:r>
        <w:t xml:space="preserve">If you have to leave your employment early because of ill-health and you have </w:t>
      </w:r>
      <w:r w:rsidRPr="00CE701B">
        <w:rPr>
          <w:b/>
          <w:bCs/>
        </w:rPr>
        <w:t>more than two years LGPS membership</w:t>
      </w:r>
      <w:r>
        <w:t xml:space="preserve"> you can apply to your employer for the release of your pension on ill-health retirement grounds. In some cases an enhancement is applied to reflect the fact that you have had to retire before your NPA. </w:t>
      </w:r>
    </w:p>
    <w:p w14:paraId="5DF5FFBF" w14:textId="77777777" w:rsidR="00F02E07" w:rsidRDefault="00F02E07" w:rsidP="00CF0EF4"/>
    <w:p w14:paraId="03E2ACC6" w14:textId="7ECEC8B0" w:rsidR="00CF0EF4" w:rsidRDefault="00CF0EF4" w:rsidP="00CF0EF4">
      <w:r>
        <w:t>Benefits are even paid early if you are made redundant by your employer, providing you are at least two years membership and are aged 55 or over at the time.</w:t>
      </w:r>
    </w:p>
    <w:p w14:paraId="09AD652F" w14:textId="77777777" w:rsidR="003B1AB4" w:rsidRDefault="003B1AB4" w:rsidP="003B1AB4">
      <w:pPr>
        <w:rPr>
          <w:b/>
          <w:color w:val="006C83"/>
          <w:sz w:val="28"/>
        </w:rPr>
      </w:pPr>
    </w:p>
    <w:p w14:paraId="589BB5DB" w14:textId="77777777" w:rsidR="003B1AB4" w:rsidRDefault="003B1AB4" w:rsidP="003B1AB4">
      <w:pPr>
        <w:pStyle w:val="Heading2"/>
      </w:pPr>
      <w:r>
        <w:rPr>
          <w:rFonts w:eastAsia="Candara"/>
        </w:rPr>
        <w:t xml:space="preserve">Protection for your family </w:t>
      </w:r>
    </w:p>
    <w:p w14:paraId="0FB7B90C" w14:textId="66E586F6" w:rsidR="003B1AB4" w:rsidRDefault="003B1AB4" w:rsidP="003B1AB4">
      <w:pPr>
        <w:rPr>
          <w:b/>
          <w:color w:val="006C83"/>
          <w:sz w:val="28"/>
        </w:rPr>
      </w:pPr>
      <w:r>
        <w:t xml:space="preserve">From your very first day of Scheme membership, should you die in service, a death grant equal to three times your assumed annual pensionable pay is due from the Scheme. In addition, benefits also become payable to your </w:t>
      </w:r>
      <w:proofErr w:type="spellStart"/>
      <w:r>
        <w:t>depend</w:t>
      </w:r>
      <w:r w:rsidR="00F02E07">
        <w:t>a</w:t>
      </w:r>
      <w:r>
        <w:t>nts</w:t>
      </w:r>
      <w:proofErr w:type="spellEnd"/>
      <w:r>
        <w:t xml:space="preserve">. This is a very valuable benefit because if the worst happens, you know that your loved ones will be looked after. Your </w:t>
      </w:r>
      <w:proofErr w:type="spellStart"/>
      <w:r>
        <w:t>depend</w:t>
      </w:r>
      <w:r w:rsidR="00F02E07">
        <w:t>a</w:t>
      </w:r>
      <w:r>
        <w:t>nts</w:t>
      </w:r>
      <w:proofErr w:type="spellEnd"/>
      <w:r>
        <w:t xml:space="preserve"> include your husband or wife, your co-habiting partner or registered civil partner and your eligible children. Further details are available from our website.</w:t>
      </w:r>
    </w:p>
    <w:p w14:paraId="47FB534E" w14:textId="77777777" w:rsidR="003B1AB4" w:rsidRDefault="003B1AB4" w:rsidP="003B1AB4"/>
    <w:p w14:paraId="36F808E5" w14:textId="77777777" w:rsidR="00F02920" w:rsidRDefault="00F02920">
      <w:pPr>
        <w:spacing w:after="160" w:line="259" w:lineRule="auto"/>
        <w:rPr>
          <w:rStyle w:val="Heading2Char"/>
        </w:rPr>
      </w:pPr>
      <w:r>
        <w:rPr>
          <w:rStyle w:val="Heading2Char"/>
        </w:rPr>
        <w:br w:type="page"/>
      </w:r>
    </w:p>
    <w:p w14:paraId="36115B6E" w14:textId="77777777" w:rsidR="00F02920" w:rsidRDefault="00F02920" w:rsidP="0067451F">
      <w:pPr>
        <w:rPr>
          <w:rStyle w:val="Heading2Char"/>
        </w:rPr>
      </w:pPr>
    </w:p>
    <w:p w14:paraId="65CED5A7" w14:textId="77777777" w:rsidR="002A70DF" w:rsidRDefault="002A70DF" w:rsidP="0067451F">
      <w:pPr>
        <w:rPr>
          <w:rStyle w:val="Heading2Char"/>
        </w:rPr>
      </w:pPr>
    </w:p>
    <w:p w14:paraId="3A39E47E" w14:textId="0BEFB661" w:rsidR="0067451F" w:rsidRDefault="0067451F" w:rsidP="0067451F">
      <w:r w:rsidRPr="0067451F">
        <w:rPr>
          <w:rStyle w:val="Heading2Char"/>
        </w:rPr>
        <w:t>Calculating your pension</w:t>
      </w:r>
      <w:r>
        <w:t xml:space="preserve"> </w:t>
      </w:r>
    </w:p>
    <w:p w14:paraId="59F4C84D" w14:textId="7AD26C21" w:rsidR="0067451F" w:rsidRDefault="0067451F" w:rsidP="0067451F">
      <w:r>
        <w:t xml:space="preserve">Each year </w:t>
      </w:r>
      <w:r>
        <w:rPr>
          <w:b/>
        </w:rPr>
        <w:t>1/49</w:t>
      </w:r>
      <w:r>
        <w:rPr>
          <w:b/>
          <w:vertAlign w:val="superscript"/>
        </w:rPr>
        <w:t>th</w:t>
      </w:r>
      <w:r>
        <w:t xml:space="preserve"> of your pensionable pay is put into your pension account. At the end of the year it is adjusted </w:t>
      </w:r>
      <w:r w:rsidR="00F02E07">
        <w:t xml:space="preserve">by the Consumer Prices Index (CPI) </w:t>
      </w:r>
      <w:r>
        <w:t xml:space="preserve">to take into account the cost of living. The next year the same thing happens again and so on. </w:t>
      </w:r>
    </w:p>
    <w:p w14:paraId="24A3E471" w14:textId="77777777" w:rsidR="0067451F" w:rsidRDefault="0067451F" w:rsidP="0067451F"/>
    <w:p w14:paraId="7072E6E7" w14:textId="4FC6CBBE" w:rsidR="0067451F" w:rsidRDefault="0067451F" w:rsidP="0067451F">
      <w:pPr>
        <w:rPr>
          <w:b/>
          <w:color w:val="006C83"/>
          <w:sz w:val="28"/>
        </w:rPr>
      </w:pPr>
      <w:r>
        <w:rPr>
          <w:b/>
        </w:rPr>
        <w:t xml:space="preserve">CARE Scheme formula = Actual Pensionable Pay </w:t>
      </w:r>
      <w:r w:rsidR="00CE701B">
        <w:rPr>
          <w:rFonts w:cs="Arial"/>
          <w:b/>
        </w:rPr>
        <w:t xml:space="preserve">÷ 49 </w:t>
      </w:r>
      <w:r>
        <w:rPr>
          <w:b/>
        </w:rPr>
        <w:t>= Annual Pension</w:t>
      </w:r>
    </w:p>
    <w:p w14:paraId="3B273BA0" w14:textId="63F13104" w:rsidR="00CF0EF4" w:rsidRDefault="00CF0EF4" w:rsidP="00C73D8C">
      <w:pPr>
        <w:rPr>
          <w:rFonts w:cs="Arial"/>
          <w:szCs w:val="24"/>
        </w:rPr>
      </w:pPr>
    </w:p>
    <w:p w14:paraId="123C5C52" w14:textId="77777777" w:rsidR="002516A1" w:rsidRDefault="002516A1" w:rsidP="002516A1">
      <w:pPr>
        <w:pBdr>
          <w:top w:val="single" w:sz="2" w:space="1" w:color="000000" w:themeColor="text1"/>
          <w:left w:val="single" w:sz="2" w:space="0" w:color="000000" w:themeColor="text1"/>
          <w:bottom w:val="single" w:sz="2" w:space="1" w:color="000000" w:themeColor="text1"/>
          <w:right w:val="single" w:sz="2" w:space="0" w:color="000000" w:themeColor="text1"/>
        </w:pBdr>
        <w:ind w:firstLine="142"/>
        <w:rPr>
          <w:rFonts w:eastAsia="Candara" w:cs="Arial"/>
          <w:b/>
          <w:bCs/>
          <w:szCs w:val="24"/>
        </w:rPr>
      </w:pPr>
    </w:p>
    <w:p w14:paraId="77B85EBA" w14:textId="05BF2D60" w:rsidR="00077CC3" w:rsidRPr="00077CC3" w:rsidRDefault="00077CC3" w:rsidP="002516A1">
      <w:pPr>
        <w:pBdr>
          <w:top w:val="single" w:sz="2" w:space="1" w:color="000000" w:themeColor="text1"/>
          <w:left w:val="single" w:sz="2" w:space="0" w:color="000000" w:themeColor="text1"/>
          <w:bottom w:val="single" w:sz="2" w:space="1" w:color="000000" w:themeColor="text1"/>
          <w:right w:val="single" w:sz="2" w:space="0" w:color="000000" w:themeColor="text1"/>
        </w:pBdr>
        <w:ind w:firstLine="142"/>
        <w:rPr>
          <w:rFonts w:eastAsia="Candara" w:cs="Arial"/>
          <w:b/>
          <w:bCs/>
          <w:szCs w:val="24"/>
        </w:rPr>
      </w:pPr>
      <w:r w:rsidRPr="00077CC3">
        <w:rPr>
          <w:rFonts w:eastAsia="Candara" w:cs="Arial"/>
          <w:b/>
          <w:bCs/>
          <w:szCs w:val="24"/>
        </w:rPr>
        <w:t xml:space="preserve">CARE Scheme example </w:t>
      </w:r>
    </w:p>
    <w:p w14:paraId="39774B5A" w14:textId="77777777" w:rsidR="002516A1" w:rsidRDefault="002516A1" w:rsidP="002516A1">
      <w:pPr>
        <w:pBdr>
          <w:top w:val="single" w:sz="2" w:space="1" w:color="000000" w:themeColor="text1"/>
          <w:left w:val="single" w:sz="2" w:space="0" w:color="000000" w:themeColor="text1"/>
          <w:bottom w:val="single" w:sz="2" w:space="1" w:color="000000" w:themeColor="text1"/>
          <w:right w:val="single" w:sz="2" w:space="0" w:color="000000" w:themeColor="text1"/>
        </w:pBdr>
        <w:ind w:firstLine="142"/>
        <w:rPr>
          <w:rFonts w:eastAsia="Candara" w:cs="Arial"/>
          <w:bCs/>
          <w:szCs w:val="24"/>
        </w:rPr>
      </w:pPr>
    </w:p>
    <w:p w14:paraId="5C01C517" w14:textId="4D973FC0" w:rsidR="00C73D8C" w:rsidRPr="00C73D8C" w:rsidRDefault="00C73D8C" w:rsidP="002516A1">
      <w:pPr>
        <w:pBdr>
          <w:top w:val="single" w:sz="2" w:space="1" w:color="000000" w:themeColor="text1"/>
          <w:left w:val="single" w:sz="2" w:space="0" w:color="000000" w:themeColor="text1"/>
          <w:bottom w:val="single" w:sz="2" w:space="1" w:color="000000" w:themeColor="text1"/>
          <w:right w:val="single" w:sz="2" w:space="0" w:color="000000" w:themeColor="text1"/>
        </w:pBdr>
        <w:ind w:firstLine="142"/>
        <w:rPr>
          <w:rFonts w:eastAsia="Candara" w:cs="Arial"/>
          <w:bCs/>
          <w:szCs w:val="24"/>
        </w:rPr>
      </w:pPr>
      <w:r w:rsidRPr="00C73D8C">
        <w:rPr>
          <w:rFonts w:eastAsia="Candara" w:cs="Arial"/>
          <w:bCs/>
          <w:szCs w:val="24"/>
        </w:rPr>
        <w:t>A member earns £24,500 in 20</w:t>
      </w:r>
      <w:r w:rsidR="00466943">
        <w:rPr>
          <w:rFonts w:eastAsia="Candara" w:cs="Arial"/>
          <w:bCs/>
          <w:szCs w:val="24"/>
        </w:rPr>
        <w:t>2</w:t>
      </w:r>
      <w:r w:rsidR="00EA26FF">
        <w:rPr>
          <w:rFonts w:eastAsia="Candara" w:cs="Arial"/>
          <w:bCs/>
          <w:szCs w:val="24"/>
        </w:rPr>
        <w:t>5</w:t>
      </w:r>
      <w:r w:rsidRPr="00C73D8C">
        <w:rPr>
          <w:rFonts w:eastAsia="Candara" w:cs="Arial"/>
          <w:bCs/>
          <w:szCs w:val="24"/>
        </w:rPr>
        <w:t>/20</w:t>
      </w:r>
      <w:r w:rsidR="00077CC3">
        <w:rPr>
          <w:rFonts w:eastAsia="Candara" w:cs="Arial"/>
          <w:bCs/>
          <w:szCs w:val="24"/>
        </w:rPr>
        <w:t>2</w:t>
      </w:r>
      <w:r w:rsidR="00EA26FF">
        <w:rPr>
          <w:rFonts w:eastAsia="Candara" w:cs="Arial"/>
          <w:bCs/>
          <w:szCs w:val="24"/>
        </w:rPr>
        <w:t>6</w:t>
      </w:r>
      <w:r w:rsidRPr="00C73D8C">
        <w:rPr>
          <w:rFonts w:eastAsia="Candara" w:cs="Arial"/>
          <w:bCs/>
          <w:szCs w:val="24"/>
        </w:rPr>
        <w:t xml:space="preserve">. </w:t>
      </w:r>
    </w:p>
    <w:p w14:paraId="659D707C" w14:textId="77777777" w:rsidR="00C73D8C" w:rsidRPr="00C73D8C" w:rsidRDefault="00C73D8C" w:rsidP="002516A1">
      <w:pPr>
        <w:pBdr>
          <w:top w:val="single" w:sz="2" w:space="1" w:color="000000" w:themeColor="text1"/>
          <w:left w:val="single" w:sz="2" w:space="0" w:color="000000" w:themeColor="text1"/>
          <w:bottom w:val="single" w:sz="2" w:space="1" w:color="000000" w:themeColor="text1"/>
          <w:right w:val="single" w:sz="2" w:space="0" w:color="000000" w:themeColor="text1"/>
        </w:pBdr>
        <w:ind w:firstLine="142"/>
        <w:rPr>
          <w:rFonts w:eastAsia="Candara" w:cs="Arial"/>
          <w:bCs/>
          <w:szCs w:val="24"/>
        </w:rPr>
      </w:pPr>
    </w:p>
    <w:p w14:paraId="4C350B54" w14:textId="77777777" w:rsidR="002516A1" w:rsidRDefault="00C73D8C" w:rsidP="002516A1">
      <w:pPr>
        <w:pBdr>
          <w:top w:val="single" w:sz="2" w:space="1" w:color="000000" w:themeColor="text1"/>
          <w:left w:val="single" w:sz="2" w:space="0" w:color="000000" w:themeColor="text1"/>
          <w:bottom w:val="single" w:sz="2" w:space="1" w:color="000000" w:themeColor="text1"/>
          <w:right w:val="single" w:sz="2" w:space="0" w:color="000000" w:themeColor="text1"/>
        </w:pBdr>
        <w:ind w:firstLine="142"/>
        <w:rPr>
          <w:rFonts w:eastAsia="Candara" w:cs="Arial"/>
          <w:bCs/>
          <w:szCs w:val="24"/>
        </w:rPr>
      </w:pPr>
      <w:r w:rsidRPr="00C73D8C">
        <w:rPr>
          <w:rFonts w:eastAsia="Candara" w:cs="Arial"/>
          <w:bCs/>
          <w:szCs w:val="24"/>
        </w:rPr>
        <w:t xml:space="preserve">Based on the </w:t>
      </w:r>
      <w:proofErr w:type="spellStart"/>
      <w:r w:rsidRPr="00C73D8C">
        <w:rPr>
          <w:rFonts w:eastAsia="Candara" w:cs="Arial"/>
          <w:bCs/>
          <w:szCs w:val="24"/>
        </w:rPr>
        <w:t>build up</w:t>
      </w:r>
      <w:proofErr w:type="spellEnd"/>
      <w:r w:rsidRPr="00C73D8C">
        <w:rPr>
          <w:rFonts w:eastAsia="Candara" w:cs="Arial"/>
          <w:bCs/>
          <w:szCs w:val="24"/>
        </w:rPr>
        <w:t xml:space="preserve"> rate of 1/49</w:t>
      </w:r>
      <w:r w:rsidRPr="00C73D8C">
        <w:rPr>
          <w:rFonts w:eastAsia="Candara" w:cs="Arial"/>
          <w:bCs/>
          <w:szCs w:val="24"/>
          <w:vertAlign w:val="superscript"/>
        </w:rPr>
        <w:t>th</w:t>
      </w:r>
      <w:r w:rsidRPr="00C73D8C">
        <w:rPr>
          <w:rFonts w:eastAsia="Candara" w:cs="Arial"/>
          <w:bCs/>
          <w:szCs w:val="24"/>
        </w:rPr>
        <w:t xml:space="preserve"> their annual pension will be calculated as</w:t>
      </w:r>
    </w:p>
    <w:p w14:paraId="7D4C72AF" w14:textId="3C3F769E" w:rsidR="00C73D8C" w:rsidRPr="00CE701B" w:rsidRDefault="00C73D8C" w:rsidP="002516A1">
      <w:pPr>
        <w:pBdr>
          <w:top w:val="single" w:sz="2" w:space="1" w:color="000000" w:themeColor="text1"/>
          <w:left w:val="single" w:sz="2" w:space="0" w:color="000000" w:themeColor="text1"/>
          <w:bottom w:val="single" w:sz="2" w:space="1" w:color="000000" w:themeColor="text1"/>
          <w:right w:val="single" w:sz="2" w:space="0" w:color="000000" w:themeColor="text1"/>
        </w:pBdr>
        <w:ind w:firstLine="142"/>
        <w:rPr>
          <w:rFonts w:eastAsia="Candara" w:cs="Arial"/>
          <w:b/>
          <w:szCs w:val="24"/>
        </w:rPr>
      </w:pPr>
      <w:r w:rsidRPr="00C73D8C">
        <w:rPr>
          <w:rFonts w:eastAsia="Candara" w:cs="Arial"/>
          <w:bCs/>
          <w:szCs w:val="24"/>
        </w:rPr>
        <w:t xml:space="preserve">follows: </w:t>
      </w:r>
      <w:r w:rsidRPr="00CE701B">
        <w:rPr>
          <w:rFonts w:eastAsia="Candara" w:cs="Arial"/>
          <w:b/>
          <w:szCs w:val="24"/>
        </w:rPr>
        <w:t>£24,500</w:t>
      </w:r>
      <w:r w:rsidR="00EA26FF">
        <w:rPr>
          <w:rFonts w:eastAsia="Candara" w:cs="Arial"/>
          <w:b/>
          <w:szCs w:val="24"/>
        </w:rPr>
        <w:t xml:space="preserve"> </w:t>
      </w:r>
      <w:r w:rsidR="00CE701B" w:rsidRPr="00CE701B">
        <w:rPr>
          <w:rFonts w:eastAsia="Candara" w:cs="Arial"/>
          <w:b/>
          <w:szCs w:val="24"/>
        </w:rPr>
        <w:t>÷</w:t>
      </w:r>
      <w:r w:rsidR="00EA26FF">
        <w:rPr>
          <w:rFonts w:eastAsia="Candara" w:cs="Arial"/>
          <w:b/>
          <w:szCs w:val="24"/>
        </w:rPr>
        <w:t xml:space="preserve"> </w:t>
      </w:r>
      <w:r w:rsidRPr="00CE701B">
        <w:rPr>
          <w:rFonts w:eastAsia="Candara" w:cs="Arial"/>
          <w:b/>
          <w:szCs w:val="24"/>
        </w:rPr>
        <w:t>49 = £500.00</w:t>
      </w:r>
    </w:p>
    <w:p w14:paraId="0F6354B0" w14:textId="77777777" w:rsidR="00C73D8C" w:rsidRPr="00CE701B" w:rsidRDefault="00C73D8C" w:rsidP="002516A1">
      <w:pPr>
        <w:pBdr>
          <w:top w:val="single" w:sz="2" w:space="1" w:color="000000" w:themeColor="text1"/>
          <w:left w:val="single" w:sz="2" w:space="0" w:color="000000" w:themeColor="text1"/>
          <w:bottom w:val="single" w:sz="2" w:space="1" w:color="000000" w:themeColor="text1"/>
          <w:right w:val="single" w:sz="2" w:space="0" w:color="000000" w:themeColor="text1"/>
        </w:pBdr>
        <w:ind w:firstLine="142"/>
        <w:rPr>
          <w:rFonts w:eastAsia="Candara" w:cs="Arial"/>
          <w:b/>
          <w:szCs w:val="24"/>
        </w:rPr>
      </w:pPr>
    </w:p>
    <w:p w14:paraId="19470208" w14:textId="77777777" w:rsidR="002516A1" w:rsidRDefault="00C73D8C" w:rsidP="002516A1">
      <w:pPr>
        <w:pBdr>
          <w:top w:val="single" w:sz="2" w:space="1" w:color="000000" w:themeColor="text1"/>
          <w:left w:val="single" w:sz="2" w:space="0" w:color="000000" w:themeColor="text1"/>
          <w:bottom w:val="single" w:sz="2" w:space="1" w:color="000000" w:themeColor="text1"/>
          <w:right w:val="single" w:sz="2" w:space="0" w:color="000000" w:themeColor="text1"/>
        </w:pBdr>
        <w:ind w:firstLine="142"/>
        <w:rPr>
          <w:rFonts w:eastAsia="Candara" w:cs="Arial"/>
          <w:bCs/>
          <w:szCs w:val="24"/>
        </w:rPr>
      </w:pPr>
      <w:r w:rsidRPr="00C73D8C">
        <w:rPr>
          <w:rFonts w:eastAsia="Candara" w:cs="Arial"/>
          <w:bCs/>
          <w:szCs w:val="24"/>
        </w:rPr>
        <w:t>Assuming that CPI is 3% this annual pension amount will be increased as follows:</w:t>
      </w:r>
    </w:p>
    <w:p w14:paraId="08015124" w14:textId="77777777" w:rsidR="00CE701B" w:rsidRDefault="00C73D8C" w:rsidP="002516A1">
      <w:pPr>
        <w:pBdr>
          <w:top w:val="single" w:sz="2" w:space="1" w:color="000000" w:themeColor="text1"/>
          <w:left w:val="single" w:sz="2" w:space="0" w:color="000000" w:themeColor="text1"/>
          <w:bottom w:val="single" w:sz="2" w:space="1" w:color="000000" w:themeColor="text1"/>
          <w:right w:val="single" w:sz="2" w:space="0" w:color="000000" w:themeColor="text1"/>
        </w:pBdr>
        <w:ind w:firstLine="142"/>
        <w:rPr>
          <w:rFonts w:eastAsia="Candara" w:cs="Arial"/>
          <w:bCs/>
          <w:szCs w:val="24"/>
        </w:rPr>
      </w:pPr>
      <w:r w:rsidRPr="00CE701B">
        <w:rPr>
          <w:rFonts w:eastAsia="Candara" w:cs="Arial"/>
          <w:b/>
          <w:szCs w:val="24"/>
        </w:rPr>
        <w:t xml:space="preserve">£500 </w:t>
      </w:r>
      <w:r w:rsidR="004C6451" w:rsidRPr="00CE701B">
        <w:rPr>
          <w:rFonts w:eastAsia="Candara" w:cs="Arial"/>
          <w:b/>
          <w:szCs w:val="24"/>
        </w:rPr>
        <w:t>+</w:t>
      </w:r>
      <w:r w:rsidRPr="00CE701B">
        <w:rPr>
          <w:rFonts w:eastAsia="Candara" w:cs="Arial"/>
          <w:b/>
          <w:szCs w:val="24"/>
        </w:rPr>
        <w:t xml:space="preserve"> 3% = £515</w:t>
      </w:r>
      <w:r w:rsidRPr="00C73D8C">
        <w:rPr>
          <w:rFonts w:eastAsia="Candara" w:cs="Arial"/>
          <w:bCs/>
          <w:szCs w:val="24"/>
        </w:rPr>
        <w:t xml:space="preserve"> </w:t>
      </w:r>
    </w:p>
    <w:p w14:paraId="5250DC4A" w14:textId="77777777" w:rsidR="00CE701B" w:rsidRDefault="00CE701B" w:rsidP="002516A1">
      <w:pPr>
        <w:pBdr>
          <w:top w:val="single" w:sz="2" w:space="1" w:color="000000" w:themeColor="text1"/>
          <w:left w:val="single" w:sz="2" w:space="0" w:color="000000" w:themeColor="text1"/>
          <w:bottom w:val="single" w:sz="2" w:space="1" w:color="000000" w:themeColor="text1"/>
          <w:right w:val="single" w:sz="2" w:space="0" w:color="000000" w:themeColor="text1"/>
        </w:pBdr>
        <w:ind w:firstLine="142"/>
        <w:rPr>
          <w:rFonts w:eastAsia="Candara" w:cs="Arial"/>
          <w:bCs/>
          <w:szCs w:val="24"/>
        </w:rPr>
      </w:pPr>
    </w:p>
    <w:p w14:paraId="6EC4A476" w14:textId="7A9C9D45" w:rsidR="00077CC3" w:rsidRDefault="00C73D8C" w:rsidP="002516A1">
      <w:pPr>
        <w:pBdr>
          <w:top w:val="single" w:sz="2" w:space="1" w:color="000000" w:themeColor="text1"/>
          <w:left w:val="single" w:sz="2" w:space="0" w:color="000000" w:themeColor="text1"/>
          <w:bottom w:val="single" w:sz="2" w:space="1" w:color="000000" w:themeColor="text1"/>
          <w:right w:val="single" w:sz="2" w:space="0" w:color="000000" w:themeColor="text1"/>
        </w:pBdr>
        <w:ind w:firstLine="142"/>
        <w:rPr>
          <w:rFonts w:eastAsia="Candara" w:cs="Arial"/>
          <w:bCs/>
          <w:szCs w:val="24"/>
        </w:rPr>
      </w:pPr>
      <w:r w:rsidRPr="00C73D8C">
        <w:rPr>
          <w:rFonts w:eastAsia="Candara" w:cs="Arial"/>
          <w:bCs/>
          <w:szCs w:val="24"/>
        </w:rPr>
        <w:t>This pension will then be increas</w:t>
      </w:r>
      <w:r w:rsidR="00077CC3">
        <w:rPr>
          <w:rFonts w:eastAsia="Candara" w:cs="Arial"/>
          <w:bCs/>
          <w:szCs w:val="24"/>
        </w:rPr>
        <w:t>ed by CPI every subsequent</w:t>
      </w:r>
      <w:r w:rsidR="00CE701B">
        <w:rPr>
          <w:rFonts w:eastAsia="Candara" w:cs="Arial"/>
          <w:bCs/>
          <w:szCs w:val="24"/>
        </w:rPr>
        <w:t xml:space="preserve"> </w:t>
      </w:r>
      <w:r w:rsidR="00077CC3">
        <w:rPr>
          <w:rFonts w:eastAsia="Candara" w:cs="Arial"/>
          <w:bCs/>
          <w:szCs w:val="24"/>
        </w:rPr>
        <w:t>year.</w:t>
      </w:r>
    </w:p>
    <w:p w14:paraId="268CE1CD" w14:textId="77777777" w:rsidR="002516A1" w:rsidRDefault="002516A1" w:rsidP="002516A1">
      <w:pPr>
        <w:pBdr>
          <w:top w:val="single" w:sz="2" w:space="1" w:color="000000" w:themeColor="text1"/>
          <w:left w:val="single" w:sz="2" w:space="0" w:color="000000" w:themeColor="text1"/>
          <w:bottom w:val="single" w:sz="2" w:space="1" w:color="000000" w:themeColor="text1"/>
          <w:right w:val="single" w:sz="2" w:space="0" w:color="000000" w:themeColor="text1"/>
        </w:pBdr>
        <w:ind w:firstLine="142"/>
        <w:rPr>
          <w:rFonts w:eastAsia="Candara" w:cs="Arial"/>
          <w:bCs/>
          <w:szCs w:val="24"/>
        </w:rPr>
      </w:pPr>
    </w:p>
    <w:p w14:paraId="4FC6AA9E" w14:textId="138C5022" w:rsidR="00C73D8C" w:rsidRDefault="00C73D8C" w:rsidP="00324D5F">
      <w:pPr>
        <w:rPr>
          <w:rFonts w:cs="Arial"/>
          <w:szCs w:val="24"/>
        </w:rPr>
      </w:pPr>
    </w:p>
    <w:p w14:paraId="6FBE325D" w14:textId="2EE98089" w:rsidR="00CE701B" w:rsidRDefault="000B25A9" w:rsidP="00324D5F">
      <w:pPr>
        <w:rPr>
          <w:rFonts w:cs="Arial"/>
          <w:szCs w:val="24"/>
        </w:rPr>
      </w:pPr>
      <w:r w:rsidRPr="000B25A9">
        <w:rPr>
          <w:rFonts w:cs="Arial"/>
          <w:szCs w:val="24"/>
        </w:rPr>
        <w:t>A series of online calculators are available to help you understand how your pension builds up and the cost to you</w:t>
      </w:r>
      <w:r>
        <w:rPr>
          <w:rFonts w:cs="Arial"/>
          <w:szCs w:val="24"/>
        </w:rPr>
        <w:t xml:space="preserve">: </w:t>
      </w:r>
      <w:hyperlink r:id="rId13" w:history="1">
        <w:r w:rsidRPr="009B298A">
          <w:rPr>
            <w:rStyle w:val="Hyperlink"/>
            <w:rFonts w:cs="Arial"/>
            <w:szCs w:val="24"/>
          </w:rPr>
          <w:t>https://www.berkshirepensions.org.uk/members/pension-tools-and-calculators</w:t>
        </w:r>
      </w:hyperlink>
      <w:r>
        <w:rPr>
          <w:rFonts w:cs="Arial"/>
          <w:szCs w:val="24"/>
        </w:rPr>
        <w:t xml:space="preserve"> </w:t>
      </w:r>
    </w:p>
    <w:p w14:paraId="52623E57" w14:textId="77777777" w:rsidR="000B25A9" w:rsidRPr="00324D5F" w:rsidRDefault="000B25A9" w:rsidP="00324D5F">
      <w:pPr>
        <w:rPr>
          <w:rFonts w:cs="Arial"/>
          <w:szCs w:val="24"/>
        </w:rPr>
      </w:pPr>
    </w:p>
    <w:p w14:paraId="01716447" w14:textId="77777777" w:rsidR="00324D5F" w:rsidRPr="00324D5F" w:rsidRDefault="00324D5F" w:rsidP="00324D5F">
      <w:pPr>
        <w:rPr>
          <w:rFonts w:cs="Arial"/>
          <w:color w:val="000000"/>
          <w:szCs w:val="24"/>
        </w:rPr>
      </w:pPr>
      <w:r w:rsidRPr="00324D5F">
        <w:rPr>
          <w:rFonts w:cs="Arial"/>
          <w:color w:val="000000"/>
          <w:szCs w:val="24"/>
        </w:rPr>
        <w:t>If you have previous LGPS membership built up before 1 April 2014, your benefits will be calculated differently. These will have built up on a 1/80</w:t>
      </w:r>
      <w:r w:rsidRPr="00324D5F">
        <w:rPr>
          <w:rFonts w:cs="Arial"/>
          <w:color w:val="000000"/>
          <w:szCs w:val="24"/>
          <w:vertAlign w:val="superscript"/>
        </w:rPr>
        <w:t>th</w:t>
      </w:r>
      <w:r w:rsidRPr="00324D5F">
        <w:rPr>
          <w:rFonts w:cs="Arial"/>
          <w:color w:val="000000"/>
          <w:szCs w:val="24"/>
        </w:rPr>
        <w:t xml:space="preserve"> basis with an automatic lump sum whereas benefits built up from 1 April 2008 provide a higher, 1/60</w:t>
      </w:r>
      <w:r w:rsidRPr="00324D5F">
        <w:rPr>
          <w:rFonts w:cs="Arial"/>
          <w:color w:val="000000"/>
          <w:szCs w:val="24"/>
          <w:vertAlign w:val="superscript"/>
        </w:rPr>
        <w:t>th</w:t>
      </w:r>
      <w:r w:rsidRPr="00324D5F">
        <w:rPr>
          <w:rFonts w:cs="Arial"/>
          <w:color w:val="000000"/>
          <w:szCs w:val="24"/>
        </w:rPr>
        <w:t xml:space="preserve"> rate of pension with no automatic lump sum. Even so, current Scheme regulations do permit you to buy some tax-free cash by exchanging some of your annual pension at a conversion rate of 12 to 1 i.e. for every £1 of pension you give up, you can buy £12 of tax-free cash subject to HM Revenue &amp; Customs limits.</w:t>
      </w:r>
    </w:p>
    <w:p w14:paraId="08EAEEF0" w14:textId="65F05016" w:rsidR="00C73D8C" w:rsidRDefault="00C73D8C" w:rsidP="00324D5F">
      <w:pPr>
        <w:rPr>
          <w:rFonts w:cs="Arial"/>
          <w:szCs w:val="24"/>
        </w:rPr>
      </w:pPr>
    </w:p>
    <w:p w14:paraId="056859EE" w14:textId="1912D1D6" w:rsidR="00AC6801" w:rsidRDefault="000775E7" w:rsidP="00AC6801">
      <w:pPr>
        <w:rPr>
          <w:rStyle w:val="Hyperlink"/>
          <w:rFonts w:eastAsia="Candara" w:cs="Arial"/>
          <w:bCs/>
          <w:spacing w:val="-2"/>
          <w:szCs w:val="24"/>
        </w:rPr>
      </w:pPr>
      <w:r w:rsidRPr="005C2BED">
        <w:rPr>
          <w:rStyle w:val="Heading1Char"/>
        </w:rPr>
        <w:t>‘my pension ONLINE’</w:t>
      </w:r>
      <w:r w:rsidRPr="005C2BED">
        <w:rPr>
          <w:rStyle w:val="Heading1Char"/>
        </w:rPr>
        <w:br/>
      </w:r>
      <w:r>
        <w:rPr>
          <w:rStyle w:val="Heading2Char"/>
        </w:rPr>
        <w:br/>
      </w:r>
      <w:r w:rsidRPr="00CC5995">
        <w:t xml:space="preserve">Don’t forget you can now view your pension information online through our online service - </w:t>
      </w:r>
      <w:r w:rsidRPr="00CC5995">
        <w:rPr>
          <w:b/>
          <w:bCs/>
        </w:rPr>
        <w:t>‘my pension ONLINE’</w:t>
      </w:r>
      <w:r w:rsidRPr="00CC5995">
        <w:t xml:space="preserve">. </w:t>
      </w:r>
      <w:r w:rsidRPr="00CC5995">
        <w:br/>
      </w:r>
      <w:r w:rsidRPr="00CC5995">
        <w:br/>
      </w:r>
      <w:r w:rsidRPr="00CC5995">
        <w:rPr>
          <w:b/>
          <w:bCs/>
        </w:rPr>
        <w:t>‘my pension ONLINE’</w:t>
      </w:r>
      <w:r w:rsidRPr="00CC5995">
        <w:t xml:space="preserve"> enables you to securely update your personal details, perform benefit calculations and update your nominated beneficiaries from the comfort of your own home or workplace. </w:t>
      </w:r>
      <w:r w:rsidRPr="00CC5995">
        <w:br/>
      </w:r>
      <w:r>
        <w:rPr>
          <w:rFonts w:eastAsia="Times New Roman" w:cs="Arial"/>
          <w:color w:val="000000"/>
          <w:szCs w:val="24"/>
          <w:lang w:val="en-GB"/>
        </w:rPr>
        <w:br/>
      </w:r>
      <w:r w:rsidRPr="00CC5995">
        <w:t xml:space="preserve">It’s easy to sign up - just visit our website </w:t>
      </w:r>
      <w:hyperlink r:id="rId14" w:history="1">
        <w:r w:rsidR="00EA26FF" w:rsidRPr="001A271A">
          <w:rPr>
            <w:rStyle w:val="Hyperlink"/>
            <w:rFonts w:eastAsia="Candara" w:cs="Arial"/>
            <w:bCs/>
            <w:spacing w:val="-2"/>
            <w:szCs w:val="24"/>
          </w:rPr>
          <w:t>www.berkshirepensions.org.uk</w:t>
        </w:r>
      </w:hyperlink>
    </w:p>
    <w:p w14:paraId="24D1C730" w14:textId="77777777" w:rsidR="00EA26FF" w:rsidRPr="00EA26FF" w:rsidRDefault="00EA26FF" w:rsidP="00AC6801">
      <w:pPr>
        <w:rPr>
          <w:rFonts w:eastAsia="Times New Roman" w:cs="Arial"/>
          <w:color w:val="000000"/>
          <w:szCs w:val="24"/>
          <w:lang w:val="en-GB"/>
        </w:rPr>
      </w:pPr>
    </w:p>
    <w:p w14:paraId="734A6AE5" w14:textId="77777777" w:rsidR="00B34C76" w:rsidRPr="00B34C76" w:rsidRDefault="00B34C76" w:rsidP="00B34C76">
      <w:pPr>
        <w:pStyle w:val="Heading2"/>
      </w:pPr>
      <w:r w:rsidRPr="00B34C76">
        <w:t xml:space="preserve">More information </w:t>
      </w:r>
    </w:p>
    <w:p w14:paraId="0D9714B7" w14:textId="4F033412" w:rsidR="00B34C76" w:rsidRDefault="00B34C76" w:rsidP="00B34C76">
      <w:pPr>
        <w:rPr>
          <w:rFonts w:cs="Arial"/>
          <w:color w:val="000000" w:themeColor="text1"/>
          <w:szCs w:val="24"/>
        </w:rPr>
      </w:pPr>
      <w:r w:rsidRPr="000B25A9">
        <w:rPr>
          <w:rFonts w:cs="Arial"/>
          <w:color w:val="000000" w:themeColor="text1"/>
          <w:szCs w:val="24"/>
        </w:rPr>
        <w:t xml:space="preserve">More detailed information about the </w:t>
      </w:r>
      <w:r w:rsidR="00E920EB" w:rsidRPr="000B25A9">
        <w:rPr>
          <w:rFonts w:cs="Arial"/>
          <w:color w:val="000000" w:themeColor="text1"/>
          <w:szCs w:val="24"/>
        </w:rPr>
        <w:t>LGPS</w:t>
      </w:r>
      <w:r w:rsidRPr="000B25A9">
        <w:rPr>
          <w:rFonts w:cs="Arial"/>
          <w:color w:val="000000" w:themeColor="text1"/>
          <w:szCs w:val="24"/>
        </w:rPr>
        <w:t xml:space="preserve"> is available from the pension team at the following address:</w:t>
      </w:r>
      <w:r w:rsidRPr="004C5935">
        <w:rPr>
          <w:rFonts w:cs="Arial"/>
          <w:b/>
          <w:bCs/>
          <w:color w:val="000000" w:themeColor="text1"/>
          <w:szCs w:val="24"/>
        </w:rPr>
        <w:t xml:space="preserve"> Royal County of Berkshire Pension Fund, </w:t>
      </w:r>
      <w:r w:rsidR="004C5935" w:rsidRPr="004C5935">
        <w:rPr>
          <w:rFonts w:cs="Arial"/>
          <w:b/>
          <w:bCs/>
          <w:color w:val="000000" w:themeColor="text1"/>
          <w:szCs w:val="24"/>
        </w:rPr>
        <w:t>Zone C</w:t>
      </w:r>
      <w:r w:rsidR="00E04546">
        <w:rPr>
          <w:rFonts w:cs="Arial"/>
          <w:b/>
          <w:bCs/>
          <w:color w:val="000000" w:themeColor="text1"/>
          <w:szCs w:val="24"/>
        </w:rPr>
        <w:t>,</w:t>
      </w:r>
      <w:r w:rsidR="004C5935" w:rsidRPr="004C5935">
        <w:rPr>
          <w:rFonts w:cs="Arial"/>
          <w:b/>
          <w:bCs/>
          <w:color w:val="000000" w:themeColor="text1"/>
          <w:szCs w:val="24"/>
        </w:rPr>
        <w:t xml:space="preserve"> Town Hall, St Ives Road, Maidenhead, Berkshire, SL6 1RF</w:t>
      </w:r>
    </w:p>
    <w:p w14:paraId="78027A5B" w14:textId="77777777" w:rsidR="00B34C76" w:rsidRDefault="00B34C76" w:rsidP="00B34C76">
      <w:pPr>
        <w:rPr>
          <w:rFonts w:cs="Arial"/>
          <w:color w:val="000000" w:themeColor="text1"/>
          <w:szCs w:val="24"/>
        </w:rPr>
      </w:pPr>
    </w:p>
    <w:p w14:paraId="121CF903" w14:textId="77777777" w:rsidR="00B34C76" w:rsidRDefault="00B34C76" w:rsidP="00B34C76">
      <w:pPr>
        <w:rPr>
          <w:rFonts w:cs="Arial"/>
          <w:b/>
          <w:color w:val="000000" w:themeColor="text1"/>
          <w:szCs w:val="24"/>
        </w:rPr>
      </w:pPr>
      <w:r>
        <w:rPr>
          <w:rFonts w:cs="Arial"/>
          <w:b/>
          <w:color w:val="000000" w:themeColor="text1"/>
          <w:szCs w:val="24"/>
        </w:rPr>
        <w:t xml:space="preserve">Tel: 01628 796 668 </w:t>
      </w:r>
      <w:r>
        <w:rPr>
          <w:rFonts w:cs="Arial"/>
          <w:b/>
          <w:color w:val="000000" w:themeColor="text1"/>
          <w:szCs w:val="24"/>
        </w:rPr>
        <w:tab/>
        <w:t xml:space="preserve"> </w:t>
      </w:r>
    </w:p>
    <w:p w14:paraId="7C89969E" w14:textId="77777777" w:rsidR="00B34C76" w:rsidRDefault="00B34C76" w:rsidP="00B34C76">
      <w:pPr>
        <w:rPr>
          <w:rFonts w:cs="Arial"/>
          <w:b/>
          <w:color w:val="000000" w:themeColor="text1"/>
          <w:szCs w:val="24"/>
        </w:rPr>
      </w:pPr>
      <w:r>
        <w:rPr>
          <w:rFonts w:cs="Arial"/>
          <w:b/>
          <w:color w:val="000000" w:themeColor="text1"/>
          <w:szCs w:val="24"/>
        </w:rPr>
        <w:tab/>
      </w:r>
    </w:p>
    <w:p w14:paraId="456423E2" w14:textId="77777777" w:rsidR="00B34C76" w:rsidRPr="00B34C76" w:rsidRDefault="0022633E" w:rsidP="00B34C76">
      <w:pPr>
        <w:rPr>
          <w:rFonts w:cs="Arial"/>
          <w:b/>
          <w:bCs/>
          <w:color w:val="000000" w:themeColor="text1"/>
          <w:szCs w:val="24"/>
        </w:rPr>
      </w:pPr>
      <w:hyperlink r:id="rId15" w:history="1">
        <w:r w:rsidR="00B34C76" w:rsidRPr="00B34C76">
          <w:rPr>
            <w:rStyle w:val="Hyperlink"/>
            <w:rFonts w:eastAsia="Candara" w:cs="Arial"/>
            <w:b/>
            <w:color w:val="000000" w:themeColor="text1"/>
            <w:szCs w:val="24"/>
            <w:u w:val="none"/>
          </w:rPr>
          <w:t>E-mail:</w:t>
        </w:r>
      </w:hyperlink>
      <w:r w:rsidR="00B34C76" w:rsidRPr="00B34C76">
        <w:rPr>
          <w:rFonts w:cs="Arial"/>
          <w:szCs w:val="24"/>
        </w:rPr>
        <w:t xml:space="preserve"> </w:t>
      </w:r>
      <w:hyperlink r:id="rId16" w:history="1">
        <w:r w:rsidR="00B34C76" w:rsidRPr="001A271A">
          <w:rPr>
            <w:rStyle w:val="Hyperlink"/>
            <w:rFonts w:cs="Arial"/>
            <w:bCs/>
            <w:szCs w:val="24"/>
          </w:rPr>
          <w:t>info@berkshirepensions.org.uk</w:t>
        </w:r>
      </w:hyperlink>
    </w:p>
    <w:p w14:paraId="4F3D5035" w14:textId="75A49790" w:rsidR="00B935AA" w:rsidRPr="000B25A9" w:rsidRDefault="00B34C76" w:rsidP="000B25A9">
      <w:pPr>
        <w:rPr>
          <w:rFonts w:ascii="Times New Roman" w:eastAsia="Times New Roman" w:hAnsi="Times New Roman" w:cs="Arial"/>
          <w:b/>
          <w:bCs/>
          <w:color w:val="000000"/>
          <w:sz w:val="22"/>
          <w:szCs w:val="24"/>
          <w:lang w:val="en-GB"/>
        </w:rPr>
      </w:pPr>
      <w:r w:rsidRPr="00B34C76">
        <w:rPr>
          <w:rFonts w:cs="Arial"/>
          <w:b/>
          <w:bCs/>
          <w:color w:val="000000" w:themeColor="text1"/>
          <w:spacing w:val="-2"/>
          <w:szCs w:val="24"/>
        </w:rPr>
        <w:t xml:space="preserve">Web: </w:t>
      </w:r>
      <w:r>
        <w:rPr>
          <w:rFonts w:cs="Arial"/>
          <w:b/>
          <w:bCs/>
          <w:color w:val="000000" w:themeColor="text1"/>
          <w:spacing w:val="-2"/>
          <w:szCs w:val="24"/>
        </w:rPr>
        <w:tab/>
      </w:r>
      <w:hyperlink r:id="rId17" w:history="1">
        <w:r w:rsidRPr="001A271A">
          <w:rPr>
            <w:rStyle w:val="Hyperlink"/>
            <w:rFonts w:eastAsia="Candara" w:cs="Arial"/>
            <w:bCs/>
            <w:spacing w:val="-2"/>
            <w:szCs w:val="24"/>
          </w:rPr>
          <w:t>www.berkshirepensions.org.uk</w:t>
        </w:r>
      </w:hyperlink>
    </w:p>
    <w:sectPr w:rsidR="00B935AA" w:rsidRPr="000B25A9" w:rsidSect="00CE701B">
      <w:footerReference w:type="default" r:id="rId18"/>
      <w:pgSz w:w="11906" w:h="16838"/>
      <w:pgMar w:top="0" w:right="566" w:bottom="851" w:left="993" w:header="708"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207E0" w14:textId="77777777" w:rsidR="00AE028B" w:rsidRDefault="00AE028B" w:rsidP="006B48BE">
      <w:r>
        <w:separator/>
      </w:r>
    </w:p>
  </w:endnote>
  <w:endnote w:type="continuationSeparator" w:id="0">
    <w:p w14:paraId="74130B40" w14:textId="77777777" w:rsidR="00AE028B" w:rsidRDefault="00AE028B" w:rsidP="006B4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6"/>
      </w:rPr>
      <w:id w:val="-541285868"/>
      <w:docPartObj>
        <w:docPartGallery w:val="Page Numbers (Bottom of Page)"/>
        <w:docPartUnique/>
      </w:docPartObj>
    </w:sdtPr>
    <w:sdtEndPr/>
    <w:sdtContent>
      <w:sdt>
        <w:sdtPr>
          <w:rPr>
            <w:sz w:val="18"/>
            <w:szCs w:val="16"/>
          </w:rPr>
          <w:id w:val="-1705238520"/>
          <w:docPartObj>
            <w:docPartGallery w:val="Page Numbers (Top of Page)"/>
            <w:docPartUnique/>
          </w:docPartObj>
        </w:sdtPr>
        <w:sdtEndPr/>
        <w:sdtContent>
          <w:p w14:paraId="0E5C1611" w14:textId="432107BE" w:rsidR="006B48BE" w:rsidRPr="006B48BE" w:rsidRDefault="006B48BE">
            <w:pPr>
              <w:pStyle w:val="Footer"/>
              <w:rPr>
                <w:sz w:val="18"/>
                <w:szCs w:val="16"/>
              </w:rPr>
            </w:pPr>
            <w:r>
              <w:rPr>
                <w:sz w:val="18"/>
                <w:szCs w:val="16"/>
              </w:rPr>
              <w:t>LGS</w:t>
            </w:r>
            <w:r w:rsidR="0010265A">
              <w:rPr>
                <w:sz w:val="18"/>
                <w:szCs w:val="16"/>
              </w:rPr>
              <w:t>1B</w:t>
            </w:r>
            <w:r w:rsidR="005A0059">
              <w:rPr>
                <w:sz w:val="18"/>
                <w:szCs w:val="16"/>
              </w:rPr>
              <w:t xml:space="preserve"> </w:t>
            </w:r>
            <w:r w:rsidR="00123BA6">
              <w:rPr>
                <w:sz w:val="18"/>
                <w:szCs w:val="16"/>
              </w:rPr>
              <w:t>(042</w:t>
            </w:r>
            <w:r w:rsidR="00CE701B">
              <w:rPr>
                <w:sz w:val="18"/>
                <w:szCs w:val="16"/>
              </w:rPr>
              <w:t>5</w:t>
            </w:r>
            <w:r w:rsidR="00123BA6">
              <w:rPr>
                <w:sz w:val="18"/>
                <w:szCs w:val="16"/>
              </w:rPr>
              <w:t xml:space="preserve">) </w:t>
            </w:r>
            <w:r w:rsidRPr="006B48BE">
              <w:rPr>
                <w:sz w:val="18"/>
                <w:szCs w:val="16"/>
              </w:rPr>
              <w:t xml:space="preserve">Page </w:t>
            </w:r>
            <w:r w:rsidRPr="006B48BE">
              <w:rPr>
                <w:b/>
                <w:bCs/>
                <w:sz w:val="18"/>
                <w:szCs w:val="18"/>
              </w:rPr>
              <w:fldChar w:fldCharType="begin"/>
            </w:r>
            <w:r w:rsidRPr="006B48BE">
              <w:rPr>
                <w:b/>
                <w:bCs/>
                <w:sz w:val="18"/>
                <w:szCs w:val="16"/>
              </w:rPr>
              <w:instrText xml:space="preserve"> PAGE </w:instrText>
            </w:r>
            <w:r w:rsidRPr="006B48BE">
              <w:rPr>
                <w:b/>
                <w:bCs/>
                <w:sz w:val="18"/>
                <w:szCs w:val="18"/>
              </w:rPr>
              <w:fldChar w:fldCharType="separate"/>
            </w:r>
            <w:r w:rsidR="001A271A">
              <w:rPr>
                <w:b/>
                <w:bCs/>
                <w:noProof/>
                <w:sz w:val="18"/>
                <w:szCs w:val="16"/>
              </w:rPr>
              <w:t>3</w:t>
            </w:r>
            <w:r w:rsidRPr="006B48BE">
              <w:rPr>
                <w:b/>
                <w:bCs/>
                <w:sz w:val="18"/>
                <w:szCs w:val="18"/>
              </w:rPr>
              <w:fldChar w:fldCharType="end"/>
            </w:r>
            <w:r w:rsidRPr="006B48BE">
              <w:rPr>
                <w:sz w:val="18"/>
                <w:szCs w:val="16"/>
              </w:rPr>
              <w:t xml:space="preserve"> of </w:t>
            </w:r>
            <w:r w:rsidRPr="006B48BE">
              <w:rPr>
                <w:b/>
                <w:bCs/>
                <w:sz w:val="18"/>
                <w:szCs w:val="18"/>
              </w:rPr>
              <w:fldChar w:fldCharType="begin"/>
            </w:r>
            <w:r w:rsidRPr="006B48BE">
              <w:rPr>
                <w:b/>
                <w:bCs/>
                <w:sz w:val="18"/>
                <w:szCs w:val="16"/>
              </w:rPr>
              <w:instrText xml:space="preserve"> NUMPAGES  </w:instrText>
            </w:r>
            <w:r w:rsidRPr="006B48BE">
              <w:rPr>
                <w:b/>
                <w:bCs/>
                <w:sz w:val="18"/>
                <w:szCs w:val="18"/>
              </w:rPr>
              <w:fldChar w:fldCharType="separate"/>
            </w:r>
            <w:r w:rsidR="001A271A">
              <w:rPr>
                <w:b/>
                <w:bCs/>
                <w:noProof/>
                <w:sz w:val="18"/>
                <w:szCs w:val="16"/>
              </w:rPr>
              <w:t>3</w:t>
            </w:r>
            <w:r w:rsidRPr="006B48BE">
              <w:rPr>
                <w:b/>
                <w:bCs/>
                <w:sz w:val="18"/>
                <w:szCs w:val="18"/>
              </w:rPr>
              <w:fldChar w:fldCharType="end"/>
            </w:r>
          </w:p>
        </w:sdtContent>
      </w:sdt>
    </w:sdtContent>
  </w:sdt>
  <w:p w14:paraId="0073D923" w14:textId="77777777" w:rsidR="006B48BE" w:rsidRDefault="006B48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72C0B" w14:textId="77777777" w:rsidR="00AE028B" w:rsidRDefault="00AE028B" w:rsidP="006B48BE">
      <w:r>
        <w:separator/>
      </w:r>
    </w:p>
  </w:footnote>
  <w:footnote w:type="continuationSeparator" w:id="0">
    <w:p w14:paraId="671AC671" w14:textId="77777777" w:rsidR="00AE028B" w:rsidRDefault="00AE028B" w:rsidP="006B4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C5F84"/>
    <w:multiLevelType w:val="multilevel"/>
    <w:tmpl w:val="078A7E86"/>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1FE5E34"/>
    <w:multiLevelType w:val="hybridMultilevel"/>
    <w:tmpl w:val="9A1A7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744945">
    <w:abstractNumId w:val="0"/>
  </w:num>
  <w:num w:numId="2" w16cid:durableId="1079710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C97"/>
    <w:rsid w:val="0000360A"/>
    <w:rsid w:val="00004D54"/>
    <w:rsid w:val="00015D11"/>
    <w:rsid w:val="00016BE0"/>
    <w:rsid w:val="00036EA4"/>
    <w:rsid w:val="00056C30"/>
    <w:rsid w:val="000620B1"/>
    <w:rsid w:val="0006623A"/>
    <w:rsid w:val="000775E7"/>
    <w:rsid w:val="00077CC3"/>
    <w:rsid w:val="000B25A9"/>
    <w:rsid w:val="000C0992"/>
    <w:rsid w:val="000C624D"/>
    <w:rsid w:val="000E1096"/>
    <w:rsid w:val="000E3908"/>
    <w:rsid w:val="000F03A0"/>
    <w:rsid w:val="0010265A"/>
    <w:rsid w:val="00123BA6"/>
    <w:rsid w:val="00125172"/>
    <w:rsid w:val="00141E71"/>
    <w:rsid w:val="00147249"/>
    <w:rsid w:val="00177E63"/>
    <w:rsid w:val="001A271A"/>
    <w:rsid w:val="001C053B"/>
    <w:rsid w:val="001C2058"/>
    <w:rsid w:val="002376F4"/>
    <w:rsid w:val="002516A1"/>
    <w:rsid w:val="00257A57"/>
    <w:rsid w:val="002747A8"/>
    <w:rsid w:val="0028540D"/>
    <w:rsid w:val="00295FDF"/>
    <w:rsid w:val="00296EEB"/>
    <w:rsid w:val="002A70DF"/>
    <w:rsid w:val="002B208C"/>
    <w:rsid w:val="002C4FFE"/>
    <w:rsid w:val="002D5412"/>
    <w:rsid w:val="00304CFF"/>
    <w:rsid w:val="00307264"/>
    <w:rsid w:val="003167CD"/>
    <w:rsid w:val="00317DFB"/>
    <w:rsid w:val="00324D5F"/>
    <w:rsid w:val="00341F29"/>
    <w:rsid w:val="00344C38"/>
    <w:rsid w:val="00355E78"/>
    <w:rsid w:val="003779DA"/>
    <w:rsid w:val="003A55CB"/>
    <w:rsid w:val="003A631A"/>
    <w:rsid w:val="003A6710"/>
    <w:rsid w:val="003B1AB4"/>
    <w:rsid w:val="003B5B4B"/>
    <w:rsid w:val="003B6507"/>
    <w:rsid w:val="003E40A6"/>
    <w:rsid w:val="003E52BC"/>
    <w:rsid w:val="003E69D8"/>
    <w:rsid w:val="003F0B9F"/>
    <w:rsid w:val="003F3C97"/>
    <w:rsid w:val="00401A2E"/>
    <w:rsid w:val="00410106"/>
    <w:rsid w:val="00421B9A"/>
    <w:rsid w:val="004246E6"/>
    <w:rsid w:val="004408F8"/>
    <w:rsid w:val="00447C19"/>
    <w:rsid w:val="00452779"/>
    <w:rsid w:val="00452A06"/>
    <w:rsid w:val="00466943"/>
    <w:rsid w:val="00491FFE"/>
    <w:rsid w:val="004B15CE"/>
    <w:rsid w:val="004C5935"/>
    <w:rsid w:val="004C5D05"/>
    <w:rsid w:val="004C6451"/>
    <w:rsid w:val="005127C5"/>
    <w:rsid w:val="00530F9B"/>
    <w:rsid w:val="00537AAE"/>
    <w:rsid w:val="0056749D"/>
    <w:rsid w:val="00570764"/>
    <w:rsid w:val="005754D5"/>
    <w:rsid w:val="00580133"/>
    <w:rsid w:val="005A0059"/>
    <w:rsid w:val="005A7956"/>
    <w:rsid w:val="005D320D"/>
    <w:rsid w:val="005E00D0"/>
    <w:rsid w:val="005F089B"/>
    <w:rsid w:val="0061398A"/>
    <w:rsid w:val="00620058"/>
    <w:rsid w:val="0064105E"/>
    <w:rsid w:val="0065115D"/>
    <w:rsid w:val="0065224F"/>
    <w:rsid w:val="006737BC"/>
    <w:rsid w:val="0067451F"/>
    <w:rsid w:val="006B48BE"/>
    <w:rsid w:val="006D7467"/>
    <w:rsid w:val="0072342E"/>
    <w:rsid w:val="00731D7F"/>
    <w:rsid w:val="00790D9D"/>
    <w:rsid w:val="007A7491"/>
    <w:rsid w:val="007A7DB5"/>
    <w:rsid w:val="007B3518"/>
    <w:rsid w:val="007B601C"/>
    <w:rsid w:val="007C2859"/>
    <w:rsid w:val="007D2A2F"/>
    <w:rsid w:val="007E2E97"/>
    <w:rsid w:val="007E5AC8"/>
    <w:rsid w:val="00805773"/>
    <w:rsid w:val="00830DED"/>
    <w:rsid w:val="00846492"/>
    <w:rsid w:val="00846F2D"/>
    <w:rsid w:val="00851FCD"/>
    <w:rsid w:val="00872D27"/>
    <w:rsid w:val="00890845"/>
    <w:rsid w:val="00897D21"/>
    <w:rsid w:val="008A5BB6"/>
    <w:rsid w:val="008F7B9A"/>
    <w:rsid w:val="00915ED0"/>
    <w:rsid w:val="00924C43"/>
    <w:rsid w:val="009622F5"/>
    <w:rsid w:val="00980352"/>
    <w:rsid w:val="0098478E"/>
    <w:rsid w:val="009A14D5"/>
    <w:rsid w:val="009A28F0"/>
    <w:rsid w:val="009C332C"/>
    <w:rsid w:val="009C7277"/>
    <w:rsid w:val="009D5FE9"/>
    <w:rsid w:val="00A03199"/>
    <w:rsid w:val="00A0731A"/>
    <w:rsid w:val="00A31D93"/>
    <w:rsid w:val="00A624BE"/>
    <w:rsid w:val="00A7722F"/>
    <w:rsid w:val="00A9021E"/>
    <w:rsid w:val="00AB490F"/>
    <w:rsid w:val="00AC6801"/>
    <w:rsid w:val="00AE028B"/>
    <w:rsid w:val="00AE7183"/>
    <w:rsid w:val="00B125DF"/>
    <w:rsid w:val="00B32D68"/>
    <w:rsid w:val="00B34C76"/>
    <w:rsid w:val="00B64EDE"/>
    <w:rsid w:val="00B759FD"/>
    <w:rsid w:val="00B8081E"/>
    <w:rsid w:val="00B85E1C"/>
    <w:rsid w:val="00B935AA"/>
    <w:rsid w:val="00BA3DA6"/>
    <w:rsid w:val="00BE5F0A"/>
    <w:rsid w:val="00BF0D59"/>
    <w:rsid w:val="00BF4524"/>
    <w:rsid w:val="00C01986"/>
    <w:rsid w:val="00C215CA"/>
    <w:rsid w:val="00C23DD3"/>
    <w:rsid w:val="00C266FC"/>
    <w:rsid w:val="00C27274"/>
    <w:rsid w:val="00C54433"/>
    <w:rsid w:val="00C56725"/>
    <w:rsid w:val="00C64EAB"/>
    <w:rsid w:val="00C73D8C"/>
    <w:rsid w:val="00CB03F0"/>
    <w:rsid w:val="00CC71D1"/>
    <w:rsid w:val="00CE701B"/>
    <w:rsid w:val="00CF0EF4"/>
    <w:rsid w:val="00CF35C7"/>
    <w:rsid w:val="00D213BF"/>
    <w:rsid w:val="00D45F59"/>
    <w:rsid w:val="00DA003B"/>
    <w:rsid w:val="00DA2693"/>
    <w:rsid w:val="00DA367D"/>
    <w:rsid w:val="00DA74F4"/>
    <w:rsid w:val="00DB676B"/>
    <w:rsid w:val="00DC01E1"/>
    <w:rsid w:val="00DC1E62"/>
    <w:rsid w:val="00DC35A2"/>
    <w:rsid w:val="00DE7302"/>
    <w:rsid w:val="00DF42A6"/>
    <w:rsid w:val="00E04546"/>
    <w:rsid w:val="00E202F9"/>
    <w:rsid w:val="00E30DB3"/>
    <w:rsid w:val="00E42BCF"/>
    <w:rsid w:val="00E50568"/>
    <w:rsid w:val="00E61430"/>
    <w:rsid w:val="00E834D5"/>
    <w:rsid w:val="00E920EB"/>
    <w:rsid w:val="00E92FDC"/>
    <w:rsid w:val="00EA1CC4"/>
    <w:rsid w:val="00EA26FF"/>
    <w:rsid w:val="00EA2D19"/>
    <w:rsid w:val="00EB3F8C"/>
    <w:rsid w:val="00ED7401"/>
    <w:rsid w:val="00EE2AAF"/>
    <w:rsid w:val="00EE3A5D"/>
    <w:rsid w:val="00F02920"/>
    <w:rsid w:val="00F02E07"/>
    <w:rsid w:val="00F132FB"/>
    <w:rsid w:val="00F14079"/>
    <w:rsid w:val="00F14542"/>
    <w:rsid w:val="00F1676B"/>
    <w:rsid w:val="00F22FB8"/>
    <w:rsid w:val="00F413CD"/>
    <w:rsid w:val="00F57C24"/>
    <w:rsid w:val="00F72BC7"/>
    <w:rsid w:val="00FD4CA9"/>
    <w:rsid w:val="00FD6723"/>
    <w:rsid w:val="00FD717B"/>
    <w:rsid w:val="00FE2031"/>
    <w:rsid w:val="00FF6A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3BF16"/>
  <w15:chartTrackingRefBased/>
  <w15:docId w15:val="{31F986A4-7E6D-4432-A196-F640AF871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5CE"/>
    <w:pPr>
      <w:spacing w:after="0" w:line="240" w:lineRule="auto"/>
    </w:pPr>
    <w:rPr>
      <w:rFonts w:ascii="Arial" w:eastAsia="PMingLiU" w:hAnsi="Arial" w:cs="Times New Roman"/>
      <w:sz w:val="24"/>
      <w:lang w:val="en-US"/>
    </w:rPr>
  </w:style>
  <w:style w:type="paragraph" w:styleId="Heading1">
    <w:name w:val="heading 1"/>
    <w:basedOn w:val="Normal"/>
    <w:next w:val="Normal"/>
    <w:link w:val="Heading1Char"/>
    <w:uiPriority w:val="9"/>
    <w:qFormat/>
    <w:rsid w:val="00570764"/>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570764"/>
    <w:pPr>
      <w:keepNext/>
      <w:keepLines/>
      <w:spacing w:before="4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0764"/>
    <w:rPr>
      <w:rFonts w:ascii="Arial" w:eastAsiaTheme="majorEastAsia" w:hAnsi="Arial" w:cstheme="majorBidi"/>
      <w:b/>
      <w:sz w:val="32"/>
      <w:szCs w:val="32"/>
      <w:lang w:val="en-US"/>
    </w:rPr>
  </w:style>
  <w:style w:type="character" w:customStyle="1" w:styleId="Heading2Char">
    <w:name w:val="Heading 2 Char"/>
    <w:basedOn w:val="DefaultParagraphFont"/>
    <w:link w:val="Heading2"/>
    <w:uiPriority w:val="9"/>
    <w:rsid w:val="00570764"/>
    <w:rPr>
      <w:rFonts w:ascii="Arial" w:eastAsiaTheme="majorEastAsia" w:hAnsi="Arial" w:cstheme="majorBidi"/>
      <w:b/>
      <w:sz w:val="26"/>
      <w:szCs w:val="26"/>
      <w:lang w:val="en-US"/>
    </w:rPr>
  </w:style>
  <w:style w:type="table" w:styleId="TableGrid">
    <w:name w:val="Table Grid"/>
    <w:basedOn w:val="TableNormal"/>
    <w:uiPriority w:val="39"/>
    <w:rsid w:val="003F3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1986"/>
    <w:pPr>
      <w:ind w:left="720"/>
      <w:contextualSpacing/>
    </w:pPr>
  </w:style>
  <w:style w:type="paragraph" w:styleId="Header">
    <w:name w:val="header"/>
    <w:basedOn w:val="Normal"/>
    <w:link w:val="HeaderChar"/>
    <w:uiPriority w:val="99"/>
    <w:unhideWhenUsed/>
    <w:rsid w:val="006B48BE"/>
    <w:pPr>
      <w:tabs>
        <w:tab w:val="center" w:pos="4513"/>
        <w:tab w:val="right" w:pos="9026"/>
      </w:tabs>
    </w:pPr>
  </w:style>
  <w:style w:type="character" w:customStyle="1" w:styleId="HeaderChar">
    <w:name w:val="Header Char"/>
    <w:basedOn w:val="DefaultParagraphFont"/>
    <w:link w:val="Header"/>
    <w:uiPriority w:val="99"/>
    <w:rsid w:val="006B48BE"/>
    <w:rPr>
      <w:rFonts w:ascii="Arial" w:eastAsia="PMingLiU" w:hAnsi="Arial" w:cs="Times New Roman"/>
      <w:sz w:val="24"/>
      <w:lang w:val="en-US"/>
    </w:rPr>
  </w:style>
  <w:style w:type="paragraph" w:styleId="Footer">
    <w:name w:val="footer"/>
    <w:basedOn w:val="Normal"/>
    <w:link w:val="FooterChar"/>
    <w:uiPriority w:val="99"/>
    <w:unhideWhenUsed/>
    <w:rsid w:val="006B48BE"/>
    <w:pPr>
      <w:tabs>
        <w:tab w:val="center" w:pos="4513"/>
        <w:tab w:val="right" w:pos="9026"/>
      </w:tabs>
    </w:pPr>
  </w:style>
  <w:style w:type="character" w:customStyle="1" w:styleId="FooterChar">
    <w:name w:val="Footer Char"/>
    <w:basedOn w:val="DefaultParagraphFont"/>
    <w:link w:val="Footer"/>
    <w:uiPriority w:val="99"/>
    <w:rsid w:val="006B48BE"/>
    <w:rPr>
      <w:rFonts w:ascii="Arial" w:eastAsia="PMingLiU" w:hAnsi="Arial" w:cs="Times New Roman"/>
      <w:sz w:val="24"/>
      <w:lang w:val="en-US"/>
    </w:rPr>
  </w:style>
  <w:style w:type="paragraph" w:styleId="NoSpacing">
    <w:name w:val="No Spacing"/>
    <w:uiPriority w:val="1"/>
    <w:qFormat/>
    <w:rsid w:val="00C73D8C"/>
    <w:pPr>
      <w:spacing w:after="0" w:line="240" w:lineRule="auto"/>
    </w:pPr>
    <w:rPr>
      <w:rFonts w:ascii="Arial" w:eastAsia="PMingLiU" w:hAnsi="Arial" w:cs="Times New Roman"/>
      <w:sz w:val="24"/>
      <w:lang w:val="en-US"/>
    </w:rPr>
  </w:style>
  <w:style w:type="character" w:styleId="Hyperlink">
    <w:name w:val="Hyperlink"/>
    <w:unhideWhenUsed/>
    <w:rsid w:val="000775E7"/>
    <w:rPr>
      <w:color w:val="0000FF"/>
      <w:u w:val="single"/>
    </w:rPr>
  </w:style>
  <w:style w:type="character" w:customStyle="1" w:styleId="UnresolvedMention1">
    <w:name w:val="Unresolved Mention1"/>
    <w:basedOn w:val="DefaultParagraphFont"/>
    <w:uiPriority w:val="99"/>
    <w:semiHidden/>
    <w:unhideWhenUsed/>
    <w:rsid w:val="00B34C76"/>
    <w:rPr>
      <w:color w:val="605E5C"/>
      <w:shd w:val="clear" w:color="auto" w:fill="E1DFDD"/>
    </w:rPr>
  </w:style>
  <w:style w:type="character" w:styleId="UnresolvedMention">
    <w:name w:val="Unresolved Mention"/>
    <w:basedOn w:val="DefaultParagraphFont"/>
    <w:uiPriority w:val="99"/>
    <w:semiHidden/>
    <w:unhideWhenUsed/>
    <w:rsid w:val="000B2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389110">
      <w:bodyDiv w:val="1"/>
      <w:marLeft w:val="0"/>
      <w:marRight w:val="0"/>
      <w:marTop w:val="0"/>
      <w:marBottom w:val="0"/>
      <w:divBdr>
        <w:top w:val="none" w:sz="0" w:space="0" w:color="auto"/>
        <w:left w:val="none" w:sz="0" w:space="0" w:color="auto"/>
        <w:bottom w:val="none" w:sz="0" w:space="0" w:color="auto"/>
        <w:right w:val="none" w:sz="0" w:space="0" w:color="auto"/>
      </w:divBdr>
    </w:div>
    <w:div w:id="1131091777">
      <w:bodyDiv w:val="1"/>
      <w:marLeft w:val="0"/>
      <w:marRight w:val="0"/>
      <w:marTop w:val="0"/>
      <w:marBottom w:val="0"/>
      <w:divBdr>
        <w:top w:val="none" w:sz="0" w:space="0" w:color="auto"/>
        <w:left w:val="none" w:sz="0" w:space="0" w:color="auto"/>
        <w:bottom w:val="none" w:sz="0" w:space="0" w:color="auto"/>
        <w:right w:val="none" w:sz="0" w:space="0" w:color="auto"/>
      </w:divBdr>
    </w:div>
    <w:div w:id="1715961654">
      <w:bodyDiv w:val="1"/>
      <w:marLeft w:val="0"/>
      <w:marRight w:val="0"/>
      <w:marTop w:val="0"/>
      <w:marBottom w:val="0"/>
      <w:divBdr>
        <w:top w:val="none" w:sz="0" w:space="0" w:color="auto"/>
        <w:left w:val="none" w:sz="0" w:space="0" w:color="auto"/>
        <w:bottom w:val="none" w:sz="0" w:space="0" w:color="auto"/>
        <w:right w:val="none" w:sz="0" w:space="0" w:color="auto"/>
      </w:divBdr>
    </w:div>
    <w:div w:id="1786540230">
      <w:bodyDiv w:val="1"/>
      <w:marLeft w:val="0"/>
      <w:marRight w:val="0"/>
      <w:marTop w:val="0"/>
      <w:marBottom w:val="0"/>
      <w:divBdr>
        <w:top w:val="none" w:sz="0" w:space="0" w:color="auto"/>
        <w:left w:val="none" w:sz="0" w:space="0" w:color="auto"/>
        <w:bottom w:val="none" w:sz="0" w:space="0" w:color="auto"/>
        <w:right w:val="none" w:sz="0" w:space="0" w:color="auto"/>
      </w:divBdr>
    </w:div>
    <w:div w:id="184805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erkshirepensions.org.uk/members/pension-tools-and-calculator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berkshirepensions.org.uk" TargetMode="External"/><Relationship Id="rId2" Type="http://schemas.openxmlformats.org/officeDocument/2006/relationships/customXml" Target="../customXml/item2.xml"/><Relationship Id="rId16" Type="http://schemas.openxmlformats.org/officeDocument/2006/relationships/hyperlink" Target="mailto:info@berkshirepensions.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fo@berkshirepensions.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erkshirepension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9C8DCEB1B1D2E469421FB29790D76DB" ma:contentTypeVersion="10" ma:contentTypeDescription="Create a new document." ma:contentTypeScope="" ma:versionID="96f7247d9d764a946b3c0d67e867528e">
  <xsd:schema xmlns:xsd="http://www.w3.org/2001/XMLSchema" xmlns:xs="http://www.w3.org/2001/XMLSchema" xmlns:p="http://schemas.microsoft.com/office/2006/metadata/properties" xmlns:ns3="68fe0f14-ec1a-4c7f-9839-5d5cf7ddc876" targetNamespace="http://schemas.microsoft.com/office/2006/metadata/properties" ma:root="true" ma:fieldsID="796f28e7afaf25e6cd64eba735f118df" ns3:_="">
    <xsd:import namespace="68fe0f14-ec1a-4c7f-9839-5d5cf7ddc8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fe0f14-ec1a-4c7f-9839-5d5cf7ddc87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85FB04-A804-441F-8AFE-0B258A3A3E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22D18C-54AA-4C90-9754-23074212FC3B}">
  <ds:schemaRefs>
    <ds:schemaRef ds:uri="http://schemas.microsoft.com/sharepoint/v3/contenttype/forms"/>
  </ds:schemaRefs>
</ds:datastoreItem>
</file>

<file path=customXml/itemProps3.xml><?xml version="1.0" encoding="utf-8"?>
<ds:datastoreItem xmlns:ds="http://schemas.openxmlformats.org/officeDocument/2006/customXml" ds:itemID="{6E5D8921-383B-4DF4-9398-1B609E5735BE}">
  <ds:schemaRefs>
    <ds:schemaRef ds:uri="http://schemas.openxmlformats.org/officeDocument/2006/bibliography"/>
  </ds:schemaRefs>
</ds:datastoreItem>
</file>

<file path=customXml/itemProps4.xml><?xml version="1.0" encoding="utf-8"?>
<ds:datastoreItem xmlns:ds="http://schemas.openxmlformats.org/officeDocument/2006/customXml" ds:itemID="{F40AB651-5351-41F5-A717-1EBE5FF18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fe0f14-ec1a-4c7f-9839-5d5cf7ddc8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1121</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Benstead</dc:creator>
  <cp:keywords/>
  <dc:description/>
  <cp:lastModifiedBy>Joanne Brazier</cp:lastModifiedBy>
  <cp:revision>2</cp:revision>
  <cp:lastPrinted>2022-11-07T16:15:00Z</cp:lastPrinted>
  <dcterms:created xsi:type="dcterms:W3CDTF">2025-03-24T14:42:00Z</dcterms:created>
  <dcterms:modified xsi:type="dcterms:W3CDTF">2025-03-24T14:42:00Z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0x010100E9C8DCEB1B1D2E469421FB29790D76DB</vt:lpwstr>
  </property>
</Properties>
</file>